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8A78" w14:textId="77777777" w:rsidR="00D843BD" w:rsidRDefault="001F7849">
      <w:pPr>
        <w:jc w:val="center"/>
        <w:rPr>
          <w:rFonts w:ascii="Arial Narrow" w:eastAsia="Arial Narrow" w:hAnsi="Arial Narrow" w:cs="Arial Narrow"/>
          <w:color w:val="333300"/>
          <w:sz w:val="18"/>
          <w:szCs w:val="18"/>
        </w:rPr>
      </w:pPr>
      <w:r>
        <w:rPr>
          <w:rFonts w:ascii="Arial Narrow" w:eastAsia="Arial Narrow" w:hAnsi="Arial Narrow" w:cs="Arial Narrow"/>
          <w:color w:val="333300"/>
          <w:sz w:val="18"/>
          <w:szCs w:val="18"/>
        </w:rPr>
        <w:t xml:space="preserve"> </w:t>
      </w:r>
      <w:r>
        <w:rPr>
          <w:noProof/>
          <w:lang w:val="es-PE" w:eastAsia="es-PE"/>
        </w:rPr>
        <w:drawing>
          <wp:inline distT="0" distB="0" distL="0" distR="0" wp14:anchorId="09F80F82" wp14:editId="0C77AC7F">
            <wp:extent cx="838200" cy="295275"/>
            <wp:effectExtent l="0" t="0" r="0" b="0"/>
            <wp:docPr id="18" name="image1.png" descr="Licencia Creative Commons"/>
            <wp:cNvGraphicFramePr/>
            <a:graphic xmlns:a="http://schemas.openxmlformats.org/drawingml/2006/main">
              <a:graphicData uri="http://schemas.openxmlformats.org/drawingml/2006/picture">
                <pic:pic xmlns:pic="http://schemas.openxmlformats.org/drawingml/2006/picture">
                  <pic:nvPicPr>
                    <pic:cNvPr id="0" name="image1.png" descr="Licencia Creative Commons"/>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14:paraId="2439E17B" w14:textId="77777777" w:rsidR="00D843BD" w:rsidRDefault="001F7849">
      <w:pPr>
        <w:jc w:val="center"/>
        <w:rPr>
          <w:rFonts w:ascii="Century Gothic" w:eastAsia="Century Gothic" w:hAnsi="Century Gothic" w:cs="Century Gothic"/>
          <w:color w:val="393A6B"/>
          <w:sz w:val="14"/>
          <w:szCs w:val="14"/>
        </w:rPr>
      </w:pPr>
      <w:r>
        <w:rPr>
          <w:rFonts w:ascii="Century Gothic" w:eastAsia="Century Gothic" w:hAnsi="Century Gothic" w:cs="Century Gothic"/>
          <w:color w:val="393A6B"/>
          <w:sz w:val="14"/>
          <w:szCs w:val="14"/>
        </w:rPr>
        <w:t>Esta obra está publicada bajo la licencia</w:t>
      </w:r>
    </w:p>
    <w:p w14:paraId="5B8BF4E3" w14:textId="77777777" w:rsidR="00D843BD" w:rsidRDefault="001F7849">
      <w:pPr>
        <w:jc w:val="center"/>
        <w:rPr>
          <w:rFonts w:ascii="Century Gothic" w:eastAsia="Century Gothic" w:hAnsi="Century Gothic" w:cs="Century Gothic"/>
          <w:b/>
          <w:color w:val="0000FF"/>
          <w:sz w:val="14"/>
          <w:szCs w:val="14"/>
          <w:u w:val="single"/>
        </w:rPr>
      </w:pPr>
      <w:hyperlink r:id="rId10">
        <w:r>
          <w:rPr>
            <w:rFonts w:ascii="Century Gothic" w:eastAsia="Century Gothic" w:hAnsi="Century Gothic" w:cs="Century Gothic"/>
            <w:color w:val="0000FF"/>
            <w:sz w:val="14"/>
            <w:szCs w:val="14"/>
            <w:u w:val="single"/>
          </w:rPr>
          <w:t>CC BY 4.0</w:t>
        </w:r>
      </w:hyperlink>
      <w:r>
        <w:fldChar w:fldCharType="begin"/>
      </w:r>
      <w:r>
        <w:instrText xml:space="preserve"> HYPERLINK "https://creativecommons.org/licenses/by/4.0/deed.es" </w:instrText>
      </w:r>
      <w:r>
        <w:fldChar w:fldCharType="separate"/>
      </w:r>
    </w:p>
    <w:p w14:paraId="233E9410" w14:textId="77777777" w:rsidR="00D843BD" w:rsidRPr="00D67E34" w:rsidRDefault="001F7849">
      <w:pPr>
        <w:jc w:val="center"/>
        <w:rPr>
          <w:rFonts w:ascii="Century Gothic" w:eastAsia="Century Gothic" w:hAnsi="Century Gothic" w:cs="Century Gothic"/>
          <w:b/>
          <w:color w:val="393A6B"/>
          <w:sz w:val="20"/>
          <w:szCs w:val="20"/>
        </w:rPr>
      </w:pPr>
      <w:r>
        <w:fldChar w:fldCharType="end"/>
      </w:r>
    </w:p>
    <w:p w14:paraId="32C2FD5C" w14:textId="2A936B59" w:rsidR="00D843BD" w:rsidRDefault="008A2DAD">
      <w:pPr>
        <w:jc w:val="center"/>
        <w:rPr>
          <w:rFonts w:ascii="Century Gothic" w:eastAsia="Century Gothic" w:hAnsi="Century Gothic" w:cs="Century Gothic"/>
          <w:b/>
          <w:color w:val="393A6B"/>
          <w:sz w:val="32"/>
          <w:szCs w:val="32"/>
        </w:rPr>
      </w:pPr>
      <w:r>
        <w:rPr>
          <w:rFonts w:ascii="Century Gothic" w:eastAsia="Century Gothic" w:hAnsi="Century Gothic" w:cs="Century Gothic"/>
          <w:b/>
          <w:color w:val="393A6B"/>
          <w:sz w:val="32"/>
          <w:szCs w:val="32"/>
        </w:rPr>
        <w:t>R</w:t>
      </w:r>
      <w:r w:rsidRPr="008A2DAD">
        <w:rPr>
          <w:rFonts w:ascii="Century Gothic" w:eastAsia="Century Gothic" w:hAnsi="Century Gothic" w:cs="Century Gothic"/>
          <w:b/>
          <w:color w:val="393A6B"/>
          <w:sz w:val="32"/>
          <w:szCs w:val="32"/>
        </w:rPr>
        <w:t>epatriaci</w:t>
      </w:r>
      <w:r>
        <w:rPr>
          <w:rFonts w:ascii="Century Gothic" w:eastAsia="Century Gothic" w:hAnsi="Century Gothic" w:cs="Century Gothic"/>
          <w:b/>
          <w:color w:val="393A6B"/>
          <w:sz w:val="32"/>
          <w:szCs w:val="32"/>
        </w:rPr>
        <w:t>ó</w:t>
      </w:r>
      <w:r w:rsidRPr="008A2DAD">
        <w:rPr>
          <w:rFonts w:ascii="Century Gothic" w:eastAsia="Century Gothic" w:hAnsi="Century Gothic" w:cs="Century Gothic"/>
          <w:b/>
          <w:color w:val="393A6B"/>
          <w:sz w:val="32"/>
          <w:szCs w:val="32"/>
        </w:rPr>
        <w:t xml:space="preserve">n de rentas no declaradas y trato igualitario a los contribuyentes en </w:t>
      </w:r>
      <w:r w:rsidR="00A84A9E">
        <w:rPr>
          <w:rFonts w:ascii="Century Gothic" w:eastAsia="Century Gothic" w:hAnsi="Century Gothic" w:cs="Century Gothic"/>
          <w:b/>
          <w:color w:val="393A6B"/>
          <w:sz w:val="32"/>
          <w:szCs w:val="32"/>
        </w:rPr>
        <w:t>una</w:t>
      </w:r>
      <w:r w:rsidRPr="008A2DAD">
        <w:rPr>
          <w:rFonts w:ascii="Century Gothic" w:eastAsia="Century Gothic" w:hAnsi="Century Gothic" w:cs="Century Gothic"/>
          <w:b/>
          <w:color w:val="393A6B"/>
          <w:sz w:val="32"/>
          <w:szCs w:val="32"/>
        </w:rPr>
        <w:t xml:space="preserve"> </w:t>
      </w:r>
      <w:r>
        <w:rPr>
          <w:rFonts w:ascii="Century Gothic" w:eastAsia="Century Gothic" w:hAnsi="Century Gothic" w:cs="Century Gothic"/>
          <w:b/>
          <w:color w:val="393A6B"/>
          <w:sz w:val="32"/>
          <w:szCs w:val="32"/>
        </w:rPr>
        <w:t>I</w:t>
      </w:r>
      <w:r w:rsidRPr="008A2DAD">
        <w:rPr>
          <w:rFonts w:ascii="Century Gothic" w:eastAsia="Century Gothic" w:hAnsi="Century Gothic" w:cs="Century Gothic"/>
          <w:b/>
          <w:color w:val="393A6B"/>
          <w:sz w:val="32"/>
          <w:szCs w:val="32"/>
        </w:rPr>
        <w:t xml:space="preserve">ntendencia de </w:t>
      </w:r>
      <w:r>
        <w:rPr>
          <w:rFonts w:ascii="Century Gothic" w:eastAsia="Century Gothic" w:hAnsi="Century Gothic" w:cs="Century Gothic"/>
          <w:b/>
          <w:color w:val="393A6B"/>
          <w:sz w:val="32"/>
          <w:szCs w:val="32"/>
        </w:rPr>
        <w:t>L</w:t>
      </w:r>
      <w:r w:rsidRPr="008A2DAD">
        <w:rPr>
          <w:rFonts w:ascii="Century Gothic" w:eastAsia="Century Gothic" w:hAnsi="Century Gothic" w:cs="Century Gothic"/>
          <w:b/>
          <w:color w:val="393A6B"/>
          <w:sz w:val="32"/>
          <w:szCs w:val="32"/>
        </w:rPr>
        <w:t>ima</w:t>
      </w:r>
    </w:p>
    <w:p w14:paraId="489011C2" w14:textId="14D31EBB" w:rsidR="0062024D" w:rsidRPr="00AE234B" w:rsidRDefault="008815CE" w:rsidP="0062024D">
      <w:pPr>
        <w:jc w:val="center"/>
        <w:rPr>
          <w:rFonts w:ascii="Century Gothic" w:eastAsia="Century Gothic" w:hAnsi="Century Gothic" w:cs="Century Gothic"/>
          <w:b/>
          <w:color w:val="393A6B"/>
          <w:sz w:val="16"/>
          <w:szCs w:val="16"/>
          <w:lang w:val="es-MX"/>
        </w:rPr>
      </w:pPr>
      <w:r w:rsidRPr="00AE234B">
        <w:rPr>
          <w:rFonts w:ascii="Century Gothic" w:eastAsia="Century Gothic" w:hAnsi="Century Gothic" w:cs="Century Gothic"/>
          <w:b/>
          <w:color w:val="393A6B"/>
          <w:sz w:val="28"/>
          <w:szCs w:val="28"/>
          <w:lang w:val="es-MX"/>
        </w:rPr>
        <w:t xml:space="preserve"> </w:t>
      </w:r>
    </w:p>
    <w:p w14:paraId="7822F72D" w14:textId="320C2334" w:rsidR="00D843BD" w:rsidRPr="0005571E" w:rsidRDefault="0062024D">
      <w:pPr>
        <w:jc w:val="center"/>
        <w:rPr>
          <w:rFonts w:ascii="Century Gothic" w:eastAsia="Century Gothic" w:hAnsi="Century Gothic" w:cs="Century Gothic"/>
          <w:color w:val="393A6B"/>
          <w:sz w:val="28"/>
          <w:szCs w:val="28"/>
          <w:lang w:val="en-US"/>
        </w:rPr>
      </w:pPr>
      <w:r w:rsidRPr="00D14A42">
        <w:rPr>
          <w:rFonts w:ascii="Century Gothic" w:eastAsia="Century Gothic" w:hAnsi="Century Gothic" w:cs="Century Gothic"/>
          <w:color w:val="393A6B"/>
          <w:sz w:val="28"/>
          <w:szCs w:val="28"/>
          <w:lang w:val="es-MX"/>
        </w:rPr>
        <w:t xml:space="preserve"> </w:t>
      </w:r>
      <w:r w:rsidR="00FA7229" w:rsidRPr="00FA7229">
        <w:rPr>
          <w:rFonts w:ascii="Century Gothic" w:eastAsia="Century Gothic" w:hAnsi="Century Gothic" w:cs="Century Gothic"/>
          <w:color w:val="393A6B"/>
          <w:sz w:val="28"/>
          <w:szCs w:val="28"/>
          <w:lang w:val="en-US"/>
        </w:rPr>
        <w:t>Repatriation of undeclared income and equal treatment of taxpayers in a Lima Municipalit</w:t>
      </w:r>
    </w:p>
    <w:p w14:paraId="707174E7" w14:textId="77777777" w:rsidR="00D843BD" w:rsidRPr="0005571E" w:rsidRDefault="00D843BD">
      <w:pPr>
        <w:jc w:val="center"/>
        <w:rPr>
          <w:rFonts w:ascii="Century Gothic" w:eastAsia="Century Gothic" w:hAnsi="Century Gothic" w:cs="Century Gothic"/>
          <w:b/>
          <w:sz w:val="16"/>
          <w:szCs w:val="16"/>
          <w:lang w:val="en-US"/>
        </w:rPr>
      </w:pPr>
    </w:p>
    <w:p w14:paraId="2F768442" w14:textId="7296F5CA" w:rsidR="0005571E" w:rsidRPr="00272CC8" w:rsidRDefault="0033494A" w:rsidP="0005571E">
      <w:pPr>
        <w:jc w:val="center"/>
        <w:rPr>
          <w:rFonts w:ascii="Century Gothic" w:eastAsia="Century Gothic" w:hAnsi="Century Gothic" w:cs="Century Gothic"/>
          <w:b/>
          <w:color w:val="393A6B"/>
          <w:sz w:val="20"/>
          <w:szCs w:val="20"/>
          <w:vertAlign w:val="superscript"/>
          <w:lang w:val="es-PE"/>
        </w:rPr>
      </w:pPr>
      <w:r w:rsidRPr="00272CC8">
        <w:rPr>
          <w:rFonts w:ascii="Century Gothic" w:eastAsia="Century Gothic" w:hAnsi="Century Gothic" w:cs="Century Gothic"/>
          <w:b/>
          <w:color w:val="393A6B"/>
          <w:sz w:val="20"/>
          <w:szCs w:val="20"/>
          <w:lang w:val="es-PE"/>
        </w:rPr>
        <w:t>M</w:t>
      </w:r>
      <w:r w:rsidR="000C1E67" w:rsidRPr="00272CC8">
        <w:rPr>
          <w:rFonts w:ascii="Century Gothic" w:eastAsia="Century Gothic" w:hAnsi="Century Gothic" w:cs="Century Gothic"/>
          <w:b/>
          <w:color w:val="393A6B"/>
          <w:sz w:val="20"/>
          <w:szCs w:val="20"/>
          <w:lang w:val="es-PE"/>
        </w:rPr>
        <w:t>aribel Ruht Rivera Huanca</w:t>
      </w:r>
      <w:r w:rsidR="00E359A7" w:rsidRPr="00272CC8">
        <w:rPr>
          <w:rFonts w:ascii="Century Gothic" w:eastAsia="Century Gothic" w:hAnsi="Century Gothic" w:cs="Century Gothic"/>
          <w:b/>
          <w:color w:val="393A6B"/>
          <w:sz w:val="20"/>
          <w:szCs w:val="20"/>
          <w:vertAlign w:val="superscript"/>
          <w:lang w:val="es-PE"/>
        </w:rPr>
        <w:t>1</w:t>
      </w:r>
      <w:r w:rsidR="00487525" w:rsidRPr="00272CC8">
        <w:rPr>
          <w:rFonts w:ascii="Century Gothic" w:eastAsia="Century Gothic" w:hAnsi="Century Gothic" w:cs="Century Gothic"/>
          <w:b/>
          <w:color w:val="393A6B"/>
          <w:sz w:val="20"/>
          <w:szCs w:val="20"/>
          <w:vertAlign w:val="superscript"/>
          <w:lang w:val="es-PE"/>
        </w:rPr>
        <w:t>*</w:t>
      </w:r>
    </w:p>
    <w:p w14:paraId="7F9EA266" w14:textId="77777777" w:rsidR="001F07D1" w:rsidRPr="00272CC8" w:rsidRDefault="001F07D1" w:rsidP="0005571E">
      <w:pPr>
        <w:jc w:val="center"/>
        <w:rPr>
          <w:rFonts w:ascii="Century Gothic" w:eastAsia="Century Gothic" w:hAnsi="Century Gothic" w:cs="Century Gothic"/>
          <w:b/>
          <w:color w:val="393A6B"/>
          <w:sz w:val="20"/>
          <w:szCs w:val="20"/>
          <w:lang w:val="es-PE"/>
        </w:rPr>
      </w:pPr>
    </w:p>
    <w:p w14:paraId="1C5FA08C" w14:textId="7C4F0309" w:rsidR="00D843BD" w:rsidRDefault="00D26E67" w:rsidP="00D26E67">
      <w:pPr>
        <w:shd w:val="clear" w:color="auto" w:fill="FFFFFF"/>
        <w:rPr>
          <w:rFonts w:ascii="Century Gothic" w:hAnsi="Century Gothic" w:cs="Arial"/>
          <w:sz w:val="16"/>
          <w:szCs w:val="16"/>
        </w:rPr>
      </w:pPr>
      <w:r w:rsidRPr="00CD534E">
        <w:rPr>
          <w:rFonts w:ascii="Century Gothic" w:hAnsi="Century Gothic" w:cs="Arial"/>
          <w:sz w:val="16"/>
          <w:szCs w:val="16"/>
        </w:rPr>
        <w:t>1</w:t>
      </w:r>
      <w:r>
        <w:rPr>
          <w:rFonts w:ascii="Arial" w:hAnsi="Arial" w:cs="Arial"/>
          <w:sz w:val="13"/>
          <w:szCs w:val="13"/>
        </w:rPr>
        <w:t xml:space="preserve"> </w:t>
      </w:r>
      <w:r>
        <w:rPr>
          <w:rFonts w:ascii="Century Gothic" w:hAnsi="Century Gothic" w:cs="Arial"/>
          <w:sz w:val="16"/>
          <w:szCs w:val="16"/>
        </w:rPr>
        <w:t xml:space="preserve">Facultad de Ciencias </w:t>
      </w:r>
      <w:r w:rsidR="000C1E67">
        <w:rPr>
          <w:rFonts w:ascii="Century Gothic" w:hAnsi="Century Gothic" w:cs="Arial"/>
          <w:sz w:val="16"/>
          <w:szCs w:val="16"/>
        </w:rPr>
        <w:t>Contables</w:t>
      </w:r>
      <w:r>
        <w:rPr>
          <w:rFonts w:ascii="Century Gothic" w:hAnsi="Century Gothic" w:cs="Arial"/>
          <w:sz w:val="16"/>
          <w:szCs w:val="16"/>
        </w:rPr>
        <w:t>, Universidad</w:t>
      </w:r>
      <w:r w:rsidR="000C1E67">
        <w:rPr>
          <w:rFonts w:ascii="Century Gothic" w:hAnsi="Century Gothic" w:cs="Arial"/>
          <w:sz w:val="16"/>
          <w:szCs w:val="16"/>
        </w:rPr>
        <w:t xml:space="preserve"> Nacional Mayor de San Marcos</w:t>
      </w:r>
      <w:r w:rsidR="009463E2">
        <w:rPr>
          <w:rFonts w:ascii="Century Gothic" w:hAnsi="Century Gothic" w:cs="Arial"/>
          <w:sz w:val="16"/>
          <w:szCs w:val="16"/>
        </w:rPr>
        <w:t>, Lima</w:t>
      </w:r>
      <w:r>
        <w:rPr>
          <w:rFonts w:ascii="Century Gothic" w:hAnsi="Century Gothic" w:cs="Arial"/>
          <w:sz w:val="16"/>
          <w:szCs w:val="16"/>
        </w:rPr>
        <w:t>, Perú.</w:t>
      </w:r>
    </w:p>
    <w:p w14:paraId="1B9ED708" w14:textId="77777777" w:rsidR="00D843BD" w:rsidRDefault="00D843BD">
      <w:pPr>
        <w:rPr>
          <w:rFonts w:ascii="Century Gothic" w:eastAsia="Century Gothic" w:hAnsi="Century Gothic" w:cs="Century Gothic"/>
          <w:sz w:val="16"/>
          <w:szCs w:val="16"/>
        </w:rPr>
      </w:pPr>
    </w:p>
    <w:p w14:paraId="37ABFBEA" w14:textId="4100D89C" w:rsidR="00D843BD" w:rsidRPr="001F07D1" w:rsidRDefault="001F7849" w:rsidP="001F07D1">
      <w:pPr>
        <w:rPr>
          <w:rFonts w:ascii="Century Gothic" w:eastAsia="Century Gothic" w:hAnsi="Century Gothic" w:cs="Century Gothic"/>
          <w:b/>
          <w:color w:val="393A6B"/>
          <w:sz w:val="16"/>
          <w:szCs w:val="16"/>
        </w:rPr>
      </w:pPr>
      <w:r>
        <w:rPr>
          <w:rFonts w:ascii="Century Gothic" w:eastAsia="Century Gothic" w:hAnsi="Century Gothic" w:cs="Century Gothic"/>
          <w:sz w:val="16"/>
          <w:szCs w:val="16"/>
        </w:rPr>
        <w:t>*Autor correspondiente:</w:t>
      </w:r>
      <w:r w:rsidR="008815CE">
        <w:rPr>
          <w:rFonts w:ascii="Century Gothic" w:eastAsia="Century Gothic" w:hAnsi="Century Gothic" w:cs="Century Gothic"/>
          <w:sz w:val="16"/>
          <w:szCs w:val="16"/>
        </w:rPr>
        <w:t xml:space="preserve"> </w:t>
      </w:r>
      <w:r w:rsidR="006B444A" w:rsidRPr="006B444A">
        <w:rPr>
          <w:rFonts w:ascii="Century Gothic" w:eastAsia="Century Gothic" w:hAnsi="Century Gothic" w:cs="Century Gothic"/>
          <w:b/>
          <w:color w:val="393A6B"/>
          <w:sz w:val="16"/>
          <w:szCs w:val="16"/>
        </w:rPr>
        <w:t xml:space="preserve">mabelriverah@hotmail.com </w:t>
      </w:r>
      <w:r w:rsidR="005D39B5" w:rsidRPr="006D443B">
        <w:rPr>
          <w:rFonts w:ascii="Century Gothic" w:eastAsia="Century Gothic" w:hAnsi="Century Gothic" w:cs="Century Gothic"/>
          <w:sz w:val="16"/>
          <w:szCs w:val="16"/>
        </w:rPr>
        <w:t>(</w:t>
      </w:r>
      <w:r w:rsidR="000C1E67">
        <w:rPr>
          <w:rFonts w:ascii="Century Gothic" w:eastAsia="Century Gothic" w:hAnsi="Century Gothic" w:cs="Century Gothic"/>
          <w:sz w:val="16"/>
          <w:szCs w:val="16"/>
        </w:rPr>
        <w:t>M</w:t>
      </w:r>
      <w:r w:rsidR="000C1E67" w:rsidRPr="006D443B">
        <w:rPr>
          <w:rFonts w:ascii="Century Gothic" w:eastAsia="Century Gothic" w:hAnsi="Century Gothic" w:cs="Century Gothic"/>
          <w:sz w:val="16"/>
          <w:szCs w:val="16"/>
        </w:rPr>
        <w:t>.</w:t>
      </w:r>
      <w:r w:rsidR="000C1E67">
        <w:rPr>
          <w:rFonts w:ascii="Century Gothic" w:eastAsia="Century Gothic" w:hAnsi="Century Gothic" w:cs="Century Gothic"/>
          <w:sz w:val="16"/>
          <w:szCs w:val="16"/>
        </w:rPr>
        <w:t xml:space="preserve"> Rivera</w:t>
      </w:r>
      <w:r w:rsidRPr="006D443B">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 </w:t>
      </w:r>
    </w:p>
    <w:p w14:paraId="5BEC07B6" w14:textId="77777777" w:rsidR="00D843BD" w:rsidRPr="001602B9" w:rsidRDefault="00D843BD">
      <w:pPr>
        <w:pBdr>
          <w:top w:val="nil"/>
          <w:left w:val="nil"/>
          <w:bottom w:val="nil"/>
          <w:right w:val="nil"/>
          <w:between w:val="nil"/>
        </w:pBdr>
        <w:rPr>
          <w:rFonts w:ascii="Century Gothic" w:eastAsia="Century Gothic" w:hAnsi="Century Gothic" w:cs="Century Gothic"/>
          <w:color w:val="000000"/>
          <w:sz w:val="16"/>
          <w:szCs w:val="16"/>
        </w:rPr>
      </w:pPr>
    </w:p>
    <w:p w14:paraId="08F0CACE" w14:textId="419637EF" w:rsidR="00D843BD" w:rsidRDefault="001F7849">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Pr="00D10310">
        <w:rPr>
          <w:rFonts w:ascii="Century Gothic" w:eastAsia="Century Gothic" w:hAnsi="Century Gothic" w:cs="Century Gothic"/>
          <w:sz w:val="16"/>
          <w:szCs w:val="16"/>
        </w:rPr>
        <w:t xml:space="preserve">Fecha de recepción: </w:t>
      </w:r>
      <w:r w:rsidR="00E43DCC">
        <w:rPr>
          <w:rFonts w:ascii="Century Gothic" w:eastAsia="Century Gothic" w:hAnsi="Century Gothic" w:cs="Century Gothic"/>
          <w:color w:val="393A6B"/>
          <w:sz w:val="16"/>
          <w:szCs w:val="16"/>
        </w:rPr>
        <w:t>01</w:t>
      </w:r>
      <w:r w:rsidRPr="00D10310">
        <w:rPr>
          <w:rFonts w:ascii="Century Gothic" w:eastAsia="Century Gothic" w:hAnsi="Century Gothic" w:cs="Century Gothic"/>
          <w:color w:val="393A6B"/>
          <w:sz w:val="16"/>
          <w:szCs w:val="16"/>
        </w:rPr>
        <w:t xml:space="preserve"> </w:t>
      </w:r>
      <w:r w:rsidR="00E43DCC">
        <w:rPr>
          <w:rFonts w:ascii="Century Gothic" w:eastAsia="Century Gothic" w:hAnsi="Century Gothic" w:cs="Century Gothic"/>
          <w:color w:val="393A6B"/>
          <w:sz w:val="16"/>
          <w:szCs w:val="16"/>
        </w:rPr>
        <w:t>12</w:t>
      </w:r>
      <w:r w:rsidRPr="00D10310">
        <w:rPr>
          <w:rFonts w:ascii="Century Gothic" w:eastAsia="Century Gothic" w:hAnsi="Century Gothic" w:cs="Century Gothic"/>
          <w:color w:val="393A6B"/>
          <w:sz w:val="16"/>
          <w:szCs w:val="16"/>
        </w:rPr>
        <w:t xml:space="preserve"> 202</w:t>
      </w:r>
      <w:r w:rsidR="000C1E67">
        <w:rPr>
          <w:rFonts w:ascii="Century Gothic" w:eastAsia="Century Gothic" w:hAnsi="Century Gothic" w:cs="Century Gothic"/>
          <w:color w:val="393A6B"/>
          <w:sz w:val="16"/>
          <w:szCs w:val="16"/>
        </w:rPr>
        <w:t>4</w:t>
      </w:r>
      <w:r w:rsidRPr="00D10310">
        <w:rPr>
          <w:rFonts w:ascii="Century Gothic" w:eastAsia="Century Gothic" w:hAnsi="Century Gothic" w:cs="Century Gothic"/>
          <w:sz w:val="16"/>
          <w:szCs w:val="16"/>
        </w:rPr>
        <w:t xml:space="preserve">. Fecha de aceptación: </w:t>
      </w:r>
      <w:r w:rsidR="00E43DCC">
        <w:rPr>
          <w:rFonts w:ascii="Century Gothic" w:eastAsia="Century Gothic" w:hAnsi="Century Gothic" w:cs="Century Gothic"/>
          <w:color w:val="393A6B"/>
          <w:sz w:val="16"/>
          <w:szCs w:val="16"/>
        </w:rPr>
        <w:t>21</w:t>
      </w:r>
      <w:r w:rsidRPr="00D10310">
        <w:rPr>
          <w:rFonts w:ascii="Century Gothic" w:eastAsia="Century Gothic" w:hAnsi="Century Gothic" w:cs="Century Gothic"/>
          <w:color w:val="393A6B"/>
          <w:sz w:val="16"/>
          <w:szCs w:val="16"/>
        </w:rPr>
        <w:t xml:space="preserve"> </w:t>
      </w:r>
      <w:r w:rsidR="00FA7229">
        <w:rPr>
          <w:rFonts w:ascii="Century Gothic" w:eastAsia="Century Gothic" w:hAnsi="Century Gothic" w:cs="Century Gothic"/>
          <w:color w:val="393A6B"/>
          <w:sz w:val="16"/>
          <w:szCs w:val="16"/>
        </w:rPr>
        <w:t>0</w:t>
      </w:r>
      <w:r w:rsidR="00E43DCC">
        <w:rPr>
          <w:rFonts w:ascii="Century Gothic" w:eastAsia="Century Gothic" w:hAnsi="Century Gothic" w:cs="Century Gothic"/>
          <w:color w:val="393A6B"/>
          <w:sz w:val="16"/>
          <w:szCs w:val="16"/>
        </w:rPr>
        <w:t>3</w:t>
      </w:r>
      <w:r w:rsidRPr="00D10310">
        <w:rPr>
          <w:rFonts w:ascii="Century Gothic" w:eastAsia="Century Gothic" w:hAnsi="Century Gothic" w:cs="Century Gothic"/>
          <w:color w:val="393A6B"/>
          <w:sz w:val="16"/>
          <w:szCs w:val="16"/>
        </w:rPr>
        <w:t xml:space="preserve"> 202</w:t>
      </w:r>
      <w:r w:rsidR="00E43DCC">
        <w:rPr>
          <w:rFonts w:ascii="Century Gothic" w:eastAsia="Century Gothic" w:hAnsi="Century Gothic" w:cs="Century Gothic"/>
          <w:color w:val="393A6B"/>
          <w:sz w:val="16"/>
          <w:szCs w:val="16"/>
        </w:rPr>
        <w:t>5.</w:t>
      </w:r>
    </w:p>
    <w:p w14:paraId="18A0F3B7" w14:textId="68E4A421" w:rsidR="00D843BD" w:rsidRPr="001602B9" w:rsidRDefault="00D843BD">
      <w:pPr>
        <w:pBdr>
          <w:bottom w:val="single" w:sz="6" w:space="1" w:color="000000"/>
        </w:pBdr>
        <w:rPr>
          <w:rFonts w:ascii="Century Gothic" w:eastAsia="Century Gothic" w:hAnsi="Century Gothic" w:cs="Century Gothic"/>
          <w:sz w:val="20"/>
          <w:szCs w:val="20"/>
        </w:rPr>
      </w:pPr>
    </w:p>
    <w:p w14:paraId="6610208F" w14:textId="257F395C" w:rsidR="00D843BD" w:rsidRPr="00F440E4" w:rsidRDefault="001F7849">
      <w:pPr>
        <w:rPr>
          <w:rFonts w:ascii="Century Gothic" w:eastAsia="Century Gothic" w:hAnsi="Century Gothic" w:cs="Century Gothic"/>
          <w:b/>
          <w:color w:val="393A6B"/>
          <w:sz w:val="16"/>
          <w:szCs w:val="16"/>
        </w:rPr>
      </w:pPr>
      <w:r w:rsidRPr="00F440E4">
        <w:rPr>
          <w:rFonts w:ascii="Century Gothic" w:eastAsia="Century Gothic" w:hAnsi="Century Gothic" w:cs="Century Gothic"/>
          <w:b/>
          <w:color w:val="393A6B"/>
          <w:sz w:val="16"/>
          <w:szCs w:val="16"/>
        </w:rPr>
        <w:t>RESUMEN</w:t>
      </w:r>
    </w:p>
    <w:p w14:paraId="05A19A1D" w14:textId="2681AD4F" w:rsidR="00473BC5" w:rsidRDefault="00430DE1">
      <w:pPr>
        <w:jc w:val="both"/>
        <w:rPr>
          <w:rFonts w:ascii="Century Gothic" w:eastAsia="Century Gothic" w:hAnsi="Century Gothic" w:cs="Century Gothic"/>
          <w:sz w:val="16"/>
          <w:szCs w:val="16"/>
        </w:rPr>
      </w:pPr>
      <w:r w:rsidRPr="00F440E4">
        <w:rPr>
          <w:rFonts w:ascii="Century Gothic" w:eastAsia="Century Gothic" w:hAnsi="Century Gothic" w:cs="Century Gothic"/>
          <w:sz w:val="16"/>
          <w:szCs w:val="16"/>
        </w:rPr>
        <w:t>La</w:t>
      </w:r>
      <w:r w:rsidR="0062024D" w:rsidRPr="00F440E4">
        <w:rPr>
          <w:rFonts w:ascii="Century Gothic" w:eastAsia="Century Gothic" w:hAnsi="Century Gothic" w:cs="Century Gothic"/>
          <w:sz w:val="16"/>
          <w:szCs w:val="16"/>
        </w:rPr>
        <w:t xml:space="preserve"> investigación </w:t>
      </w:r>
      <w:r w:rsidR="00AE234B" w:rsidRPr="00F440E4">
        <w:rPr>
          <w:rFonts w:ascii="Century Gothic" w:eastAsia="Century Gothic" w:hAnsi="Century Gothic" w:cs="Century Gothic"/>
          <w:sz w:val="16"/>
          <w:szCs w:val="16"/>
        </w:rPr>
        <w:t>tuvo como</w:t>
      </w:r>
      <w:r w:rsidR="0062024D" w:rsidRPr="00F440E4">
        <w:rPr>
          <w:rFonts w:ascii="Century Gothic" w:eastAsia="Century Gothic" w:hAnsi="Century Gothic" w:cs="Century Gothic"/>
          <w:sz w:val="16"/>
          <w:szCs w:val="16"/>
        </w:rPr>
        <w:t xml:space="preserve"> objetivo </w:t>
      </w:r>
      <w:r w:rsidR="00084639" w:rsidRPr="00084639">
        <w:rPr>
          <w:rFonts w:ascii="Century Gothic" w:eastAsia="Century Gothic" w:hAnsi="Century Gothic" w:cs="Century Gothic"/>
          <w:sz w:val="16"/>
          <w:szCs w:val="16"/>
        </w:rPr>
        <w:t xml:space="preserve">determinar la influencia de la repatriación de rentas no declaradas en el trato igualitario a los contribuyentes de </w:t>
      </w:r>
      <w:r w:rsidR="00084639" w:rsidRPr="00863CF2">
        <w:rPr>
          <w:rFonts w:ascii="Century Gothic" w:eastAsia="Century Gothic" w:hAnsi="Century Gothic" w:cs="Century Gothic"/>
          <w:sz w:val="16"/>
          <w:szCs w:val="16"/>
        </w:rPr>
        <w:t>un</w:t>
      </w:r>
      <w:r w:rsidR="00C4539E" w:rsidRPr="00863CF2">
        <w:rPr>
          <w:rFonts w:ascii="Century Gothic" w:eastAsia="Century Gothic" w:hAnsi="Century Gothic" w:cs="Century Gothic"/>
          <w:sz w:val="16"/>
          <w:szCs w:val="16"/>
        </w:rPr>
        <w:t>a</w:t>
      </w:r>
      <w:r w:rsidR="00084639" w:rsidRPr="00863CF2">
        <w:rPr>
          <w:rFonts w:ascii="Century Gothic" w:eastAsia="Century Gothic" w:hAnsi="Century Gothic" w:cs="Century Gothic"/>
          <w:sz w:val="16"/>
          <w:szCs w:val="16"/>
        </w:rPr>
        <w:t xml:space="preserve"> In</w:t>
      </w:r>
      <w:r w:rsidR="00084639" w:rsidRPr="007A44AA">
        <w:rPr>
          <w:rFonts w:ascii="Century Gothic" w:eastAsia="Century Gothic" w:hAnsi="Century Gothic" w:cs="Century Gothic"/>
          <w:sz w:val="16"/>
          <w:szCs w:val="16"/>
        </w:rPr>
        <w:t>tendencia de Lima, periodo 2023.</w:t>
      </w:r>
      <w:r w:rsidRPr="007A44AA">
        <w:rPr>
          <w:rFonts w:ascii="Century Gothic" w:eastAsia="Century Gothic" w:hAnsi="Century Gothic" w:cs="Century Gothic"/>
          <w:sz w:val="16"/>
          <w:szCs w:val="16"/>
        </w:rPr>
        <w:t xml:space="preserve"> </w:t>
      </w:r>
      <w:r w:rsidR="00C4539E" w:rsidRPr="007A44AA">
        <w:rPr>
          <w:rFonts w:ascii="Century Gothic" w:eastAsia="Century Gothic" w:hAnsi="Century Gothic" w:cs="Century Gothic"/>
          <w:sz w:val="16"/>
          <w:szCs w:val="16"/>
        </w:rPr>
        <w:t>En l</w:t>
      </w:r>
      <w:r w:rsidRPr="007A44AA">
        <w:rPr>
          <w:rFonts w:ascii="Century Gothic" w:eastAsia="Century Gothic" w:hAnsi="Century Gothic" w:cs="Century Gothic"/>
          <w:sz w:val="16"/>
          <w:szCs w:val="16"/>
        </w:rPr>
        <w:t xml:space="preserve">a metodología </w:t>
      </w:r>
      <w:r w:rsidR="0062024D" w:rsidRPr="007A44AA">
        <w:rPr>
          <w:rFonts w:ascii="Century Gothic" w:eastAsia="Century Gothic" w:hAnsi="Century Gothic" w:cs="Century Gothic"/>
          <w:sz w:val="16"/>
          <w:szCs w:val="16"/>
        </w:rPr>
        <w:t xml:space="preserve">se </w:t>
      </w:r>
      <w:r w:rsidR="00473BC5" w:rsidRPr="007A44AA">
        <w:rPr>
          <w:rFonts w:ascii="Century Gothic" w:eastAsia="Century Gothic" w:hAnsi="Century Gothic" w:cs="Century Gothic"/>
          <w:sz w:val="16"/>
          <w:szCs w:val="16"/>
        </w:rPr>
        <w:t>administr</w:t>
      </w:r>
      <w:r w:rsidR="00120E52" w:rsidRPr="007A44AA">
        <w:rPr>
          <w:rFonts w:ascii="Century Gothic" w:eastAsia="Century Gothic" w:hAnsi="Century Gothic" w:cs="Century Gothic"/>
          <w:sz w:val="16"/>
          <w:szCs w:val="16"/>
        </w:rPr>
        <w:t xml:space="preserve">ó un cuestionario </w:t>
      </w:r>
      <w:r w:rsidR="00520073" w:rsidRPr="007A44AA">
        <w:rPr>
          <w:rFonts w:ascii="Century Gothic" w:eastAsia="Century Gothic" w:hAnsi="Century Gothic" w:cs="Century Gothic"/>
          <w:sz w:val="16"/>
          <w:szCs w:val="16"/>
        </w:rPr>
        <w:t xml:space="preserve">a </w:t>
      </w:r>
      <w:r w:rsidR="00D907DC" w:rsidRPr="007A44AA">
        <w:rPr>
          <w:rFonts w:ascii="Century Gothic" w:eastAsia="Century Gothic" w:hAnsi="Century Gothic" w:cs="Century Gothic"/>
          <w:sz w:val="16"/>
          <w:szCs w:val="16"/>
        </w:rPr>
        <w:t>67</w:t>
      </w:r>
      <w:r w:rsidR="00520073" w:rsidRPr="007A44AA">
        <w:rPr>
          <w:rFonts w:ascii="Century Gothic" w:eastAsia="Century Gothic" w:hAnsi="Century Gothic" w:cs="Century Gothic"/>
          <w:sz w:val="16"/>
          <w:szCs w:val="16"/>
        </w:rPr>
        <w:t xml:space="preserve"> colaboradores que</w:t>
      </w:r>
      <w:r w:rsidR="00520073" w:rsidRPr="00520073">
        <w:rPr>
          <w:rFonts w:ascii="Century Gothic" w:eastAsia="Century Gothic" w:hAnsi="Century Gothic" w:cs="Century Gothic"/>
          <w:sz w:val="16"/>
          <w:szCs w:val="16"/>
        </w:rPr>
        <w:t xml:space="preserve"> proporcionan asesoría tributaria en una Intendencia</w:t>
      </w:r>
      <w:r w:rsidR="00520073">
        <w:rPr>
          <w:rFonts w:ascii="Century Gothic" w:eastAsia="Century Gothic" w:hAnsi="Century Gothic" w:cs="Century Gothic"/>
          <w:sz w:val="16"/>
          <w:szCs w:val="16"/>
        </w:rPr>
        <w:t xml:space="preserve">, </w:t>
      </w:r>
      <w:r w:rsidR="00473BC5" w:rsidRPr="00F440E4">
        <w:rPr>
          <w:rFonts w:ascii="Century Gothic" w:eastAsia="Century Gothic" w:hAnsi="Century Gothic" w:cs="Century Gothic"/>
          <w:sz w:val="16"/>
          <w:szCs w:val="16"/>
        </w:rPr>
        <w:t>mediante</w:t>
      </w:r>
      <w:r w:rsidRPr="00F440E4">
        <w:rPr>
          <w:rFonts w:ascii="Century Gothic" w:eastAsia="Century Gothic" w:hAnsi="Century Gothic" w:cs="Century Gothic"/>
          <w:sz w:val="16"/>
          <w:szCs w:val="16"/>
        </w:rPr>
        <w:t xml:space="preserve"> la encuesta</w:t>
      </w:r>
      <w:r w:rsidR="008F213E" w:rsidRPr="00F440E4">
        <w:rPr>
          <w:rFonts w:ascii="Century Gothic" w:eastAsia="Century Gothic" w:hAnsi="Century Gothic" w:cs="Century Gothic"/>
          <w:sz w:val="16"/>
          <w:szCs w:val="16"/>
        </w:rPr>
        <w:t>, permitiendo</w:t>
      </w:r>
      <w:r w:rsidR="0062024D" w:rsidRPr="00F440E4">
        <w:rPr>
          <w:rFonts w:ascii="Century Gothic" w:eastAsia="Century Gothic" w:hAnsi="Century Gothic" w:cs="Century Gothic"/>
          <w:sz w:val="16"/>
          <w:szCs w:val="16"/>
        </w:rPr>
        <w:t xml:space="preserve"> </w:t>
      </w:r>
      <w:r w:rsidR="00473BC5" w:rsidRPr="00F440E4">
        <w:rPr>
          <w:rFonts w:ascii="Century Gothic" w:eastAsia="Century Gothic" w:hAnsi="Century Gothic" w:cs="Century Gothic"/>
          <w:sz w:val="16"/>
          <w:szCs w:val="16"/>
        </w:rPr>
        <w:t>re</w:t>
      </w:r>
      <w:r w:rsidR="003D0788" w:rsidRPr="00F440E4">
        <w:rPr>
          <w:rFonts w:ascii="Century Gothic" w:eastAsia="Century Gothic" w:hAnsi="Century Gothic" w:cs="Century Gothic"/>
          <w:sz w:val="16"/>
          <w:szCs w:val="16"/>
        </w:rPr>
        <w:t>copila</w:t>
      </w:r>
      <w:r w:rsidR="00473BC5" w:rsidRPr="00F440E4">
        <w:rPr>
          <w:rFonts w:ascii="Century Gothic" w:eastAsia="Century Gothic" w:hAnsi="Century Gothic" w:cs="Century Gothic"/>
          <w:sz w:val="16"/>
          <w:szCs w:val="16"/>
        </w:rPr>
        <w:t xml:space="preserve">r </w:t>
      </w:r>
      <w:r w:rsidR="003D0788" w:rsidRPr="00F440E4">
        <w:rPr>
          <w:rFonts w:ascii="Century Gothic" w:eastAsia="Century Gothic" w:hAnsi="Century Gothic" w:cs="Century Gothic"/>
          <w:sz w:val="16"/>
          <w:szCs w:val="16"/>
        </w:rPr>
        <w:t>información</w:t>
      </w:r>
      <w:r w:rsidR="00473BC5" w:rsidRPr="00F440E4">
        <w:rPr>
          <w:rFonts w:ascii="Century Gothic" w:eastAsia="Century Gothic" w:hAnsi="Century Gothic" w:cs="Century Gothic"/>
          <w:sz w:val="16"/>
          <w:szCs w:val="16"/>
        </w:rPr>
        <w:t xml:space="preserve"> de las variables en estudio</w:t>
      </w:r>
      <w:r w:rsidR="0062024D" w:rsidRPr="00F440E4">
        <w:rPr>
          <w:rFonts w:ascii="Century Gothic" w:eastAsia="Century Gothic" w:hAnsi="Century Gothic" w:cs="Century Gothic"/>
          <w:sz w:val="16"/>
          <w:szCs w:val="16"/>
        </w:rPr>
        <w:t xml:space="preserve">. Los resultados </w:t>
      </w:r>
      <w:r w:rsidR="00520073">
        <w:rPr>
          <w:rFonts w:ascii="Century Gothic" w:eastAsia="Century Gothic" w:hAnsi="Century Gothic" w:cs="Century Gothic"/>
          <w:sz w:val="16"/>
          <w:szCs w:val="16"/>
        </w:rPr>
        <w:t>indicaron</w:t>
      </w:r>
      <w:r w:rsidR="00520073" w:rsidRPr="00520073">
        <w:rPr>
          <w:rFonts w:ascii="Century Gothic" w:eastAsia="Century Gothic" w:hAnsi="Century Gothic" w:cs="Century Gothic"/>
          <w:sz w:val="16"/>
          <w:szCs w:val="16"/>
        </w:rPr>
        <w:t xml:space="preserve"> que la repatriación de rentas no declaradas tiene una influencia muy significativa en el trato igualitario, con un valor de Chi cuadrado alto y una significación bilateral de 0,000, lo cual es estadísticamente significativo. El Pseudo R de Nagelkerke de 0,807 sugiere que aproximadamente el 80,7% de la variabilidad en el trato igualitario se explica por esta variable. Esto implica una fuerte </w:t>
      </w:r>
      <w:r w:rsidR="00520073">
        <w:rPr>
          <w:rFonts w:ascii="Century Gothic" w:eastAsia="Century Gothic" w:hAnsi="Century Gothic" w:cs="Century Gothic"/>
          <w:sz w:val="16"/>
          <w:szCs w:val="16"/>
        </w:rPr>
        <w:t>asociaci</w:t>
      </w:r>
      <w:r w:rsidR="00520073" w:rsidRPr="00520073">
        <w:rPr>
          <w:rFonts w:ascii="Century Gothic" w:eastAsia="Century Gothic" w:hAnsi="Century Gothic" w:cs="Century Gothic"/>
          <w:sz w:val="16"/>
          <w:szCs w:val="16"/>
        </w:rPr>
        <w:t>ón entre la repatriación de rentas no declaradas y la percepción de trato equitativo en el sistema tributario.</w:t>
      </w:r>
      <w:r w:rsidR="00084639">
        <w:rPr>
          <w:rFonts w:ascii="Century Gothic" w:eastAsia="Century Gothic" w:hAnsi="Century Gothic" w:cs="Century Gothic"/>
          <w:sz w:val="16"/>
          <w:szCs w:val="16"/>
        </w:rPr>
        <w:t xml:space="preserve"> S</w:t>
      </w:r>
      <w:r w:rsidRPr="00F440E4">
        <w:rPr>
          <w:rFonts w:ascii="Century Gothic" w:eastAsia="Century Gothic" w:hAnsi="Century Gothic" w:cs="Century Gothic"/>
          <w:sz w:val="16"/>
          <w:szCs w:val="16"/>
        </w:rPr>
        <w:t>e concluyó que,</w:t>
      </w:r>
      <w:r w:rsidR="003D5B3B" w:rsidRPr="00F440E4">
        <w:rPr>
          <w:rFonts w:ascii="Century Gothic" w:eastAsia="Century Gothic" w:hAnsi="Century Gothic" w:cs="Century Gothic"/>
          <w:sz w:val="16"/>
          <w:szCs w:val="16"/>
        </w:rPr>
        <w:t xml:space="preserve"> </w:t>
      </w:r>
      <w:r w:rsidR="00084639" w:rsidRPr="00084639">
        <w:rPr>
          <w:rFonts w:ascii="Century Gothic" w:eastAsia="Century Gothic" w:hAnsi="Century Gothic" w:cs="Century Gothic"/>
          <w:sz w:val="16"/>
          <w:szCs w:val="16"/>
        </w:rPr>
        <w:t>la repatriación de rentas no declaradas, la regularización de ingresos no declarados, los incentivos a la declaración y repatriación, y las obligaciones fiscales y políticas tributarias tienen una influencia significativa en el trato igualitario a los contribuyentes.</w:t>
      </w:r>
    </w:p>
    <w:p w14:paraId="7DD4674A" w14:textId="77777777" w:rsidR="00084639" w:rsidRPr="00F440E4" w:rsidRDefault="00084639">
      <w:pPr>
        <w:jc w:val="both"/>
        <w:rPr>
          <w:rFonts w:ascii="Century Gothic" w:eastAsia="Century Gothic" w:hAnsi="Century Gothic" w:cs="Century Gothic"/>
          <w:b/>
          <w:color w:val="393A6B"/>
          <w:sz w:val="6"/>
          <w:szCs w:val="6"/>
        </w:rPr>
      </w:pPr>
    </w:p>
    <w:p w14:paraId="30AF37D3" w14:textId="07E8A0B4" w:rsidR="00D843BD" w:rsidRDefault="001F7849" w:rsidP="00520073">
      <w:pPr>
        <w:jc w:val="both"/>
        <w:rPr>
          <w:rFonts w:ascii="Century Gothic" w:eastAsia="Century Gothic" w:hAnsi="Century Gothic" w:cs="Century Gothic"/>
          <w:b/>
          <w:sz w:val="16"/>
          <w:szCs w:val="16"/>
        </w:rPr>
      </w:pPr>
      <w:r w:rsidRPr="00F440E4">
        <w:rPr>
          <w:rFonts w:ascii="Century Gothic" w:eastAsia="Century Gothic" w:hAnsi="Century Gothic" w:cs="Century Gothic"/>
          <w:b/>
          <w:color w:val="393A6B"/>
          <w:sz w:val="16"/>
          <w:szCs w:val="16"/>
        </w:rPr>
        <w:t>Palabras clave:</w:t>
      </w:r>
      <w:r w:rsidRPr="00F440E4">
        <w:rPr>
          <w:rFonts w:ascii="Century Gothic" w:eastAsia="Century Gothic" w:hAnsi="Century Gothic" w:cs="Century Gothic"/>
          <w:b/>
          <w:sz w:val="16"/>
          <w:szCs w:val="16"/>
        </w:rPr>
        <w:t xml:space="preserve"> </w:t>
      </w:r>
      <w:r w:rsidR="00520073" w:rsidRPr="00520073">
        <w:rPr>
          <w:rFonts w:ascii="Century Gothic" w:eastAsia="Century Gothic" w:hAnsi="Century Gothic" w:cs="Century Gothic"/>
          <w:bCs/>
          <w:sz w:val="16"/>
          <w:szCs w:val="16"/>
        </w:rPr>
        <w:t>repatriación de rentas no declarados; tratamiento igualitario; regularización de ingresos</w:t>
      </w:r>
      <w:r w:rsidR="00503300">
        <w:rPr>
          <w:rFonts w:ascii="Century Gothic" w:eastAsia="Century Gothic" w:hAnsi="Century Gothic" w:cs="Century Gothic"/>
          <w:bCs/>
          <w:sz w:val="16"/>
          <w:szCs w:val="16"/>
        </w:rPr>
        <w:t>.</w:t>
      </w:r>
    </w:p>
    <w:p w14:paraId="065DF2D5" w14:textId="77777777" w:rsidR="00520073" w:rsidRDefault="00520073" w:rsidP="00520073">
      <w:pPr>
        <w:jc w:val="both"/>
        <w:rPr>
          <w:rFonts w:ascii="Century Gothic" w:eastAsia="Century Gothic" w:hAnsi="Century Gothic" w:cs="Century Gothic"/>
          <w:b/>
          <w:sz w:val="16"/>
          <w:szCs w:val="16"/>
        </w:rPr>
      </w:pPr>
    </w:p>
    <w:p w14:paraId="7DD701B8" w14:textId="61954F61" w:rsidR="00887F90" w:rsidRPr="002A0919" w:rsidRDefault="001F7849">
      <w:pPr>
        <w:rPr>
          <w:rFonts w:ascii="Century Gothic" w:eastAsia="Century Gothic" w:hAnsi="Century Gothic" w:cs="Century Gothic"/>
          <w:b/>
          <w:color w:val="393A6B"/>
          <w:sz w:val="16"/>
          <w:szCs w:val="16"/>
          <w:lang w:val="en-US"/>
        </w:rPr>
      </w:pPr>
      <w:r w:rsidRPr="002A0919">
        <w:rPr>
          <w:rFonts w:ascii="Century Gothic" w:eastAsia="Century Gothic" w:hAnsi="Century Gothic" w:cs="Century Gothic"/>
          <w:b/>
          <w:color w:val="393A6B"/>
          <w:sz w:val="16"/>
          <w:szCs w:val="16"/>
          <w:lang w:val="en-US"/>
        </w:rPr>
        <w:t>ABSTRACT</w:t>
      </w:r>
    </w:p>
    <w:p w14:paraId="3C55906C" w14:textId="7F30E803" w:rsidR="00520073" w:rsidRDefault="00661688" w:rsidP="00F9061F">
      <w:pPr>
        <w:jc w:val="both"/>
        <w:rPr>
          <w:rFonts w:ascii="Century Gothic" w:eastAsia="Century Gothic" w:hAnsi="Century Gothic" w:cs="Century Gothic"/>
          <w:sz w:val="16"/>
          <w:szCs w:val="16"/>
          <w:lang w:val="en-US"/>
        </w:rPr>
      </w:pPr>
      <w:r w:rsidRPr="00661688">
        <w:rPr>
          <w:rFonts w:ascii="Century Gothic" w:eastAsia="Century Gothic" w:hAnsi="Century Gothic" w:cs="Century Gothic"/>
          <w:sz w:val="16"/>
          <w:szCs w:val="16"/>
          <w:lang w:val="en-US"/>
        </w:rPr>
        <w:t>The objective of the research was to determine the influence of the repatriation of undeclared income on the equal treatment of taxpayers in a Municipality of Lima, period 2023. In the methodology, a questionnaire was administered to 67 collaborators who provide tax advice in a Municipality, through the survey, allowing information to be collected on the variables under study. The results indicated that the repatriation of undeclared income has a very significant influence on equal treatment, with a high Chi square value and a two-sided significance of 0.000, which is statistically significant. The Nagelkerke Pseudo R of 0.807 suggests that approximately 80.7% of the variability in equal treatment is explained by this variable. This implies a strong association between the repatriation of undeclared income and the perception of equitable treatment in the tax system. It was concluded that the repatriation of undeclared income, the regularization of undeclared income, incentives for declaration and repatriation, and tax obligations and tax policies have a significant influence on the equal treatment of taxpayers.</w:t>
      </w:r>
    </w:p>
    <w:p w14:paraId="1241B06E" w14:textId="77777777" w:rsidR="00661688" w:rsidRPr="00D14A42" w:rsidRDefault="00661688" w:rsidP="00F9061F">
      <w:pPr>
        <w:jc w:val="both"/>
        <w:rPr>
          <w:rFonts w:ascii="Century Gothic" w:eastAsia="Century Gothic" w:hAnsi="Century Gothic" w:cs="Century Gothic"/>
          <w:b/>
          <w:color w:val="393A6B"/>
          <w:sz w:val="6"/>
          <w:szCs w:val="6"/>
          <w:lang w:val="en-US"/>
        </w:rPr>
      </w:pPr>
    </w:p>
    <w:p w14:paraId="31BE3549" w14:textId="659B9E64" w:rsidR="0005571E" w:rsidRDefault="001F7849" w:rsidP="00272CC8">
      <w:pPr>
        <w:pBdr>
          <w:bottom w:val="single" w:sz="4" w:space="1" w:color="auto"/>
        </w:pBdr>
        <w:jc w:val="both"/>
        <w:rPr>
          <w:rFonts w:ascii="Century Gothic" w:eastAsia="Century Gothic" w:hAnsi="Century Gothic" w:cs="Century Gothic"/>
          <w:sz w:val="16"/>
          <w:szCs w:val="16"/>
          <w:lang w:val="en-US"/>
        </w:rPr>
      </w:pPr>
      <w:r w:rsidRPr="0005571E">
        <w:rPr>
          <w:rFonts w:ascii="Century Gothic" w:eastAsia="Century Gothic" w:hAnsi="Century Gothic" w:cs="Century Gothic"/>
          <w:b/>
          <w:color w:val="393A6B"/>
          <w:sz w:val="16"/>
          <w:szCs w:val="16"/>
          <w:lang w:val="en-US"/>
        </w:rPr>
        <w:t>Keywords:</w:t>
      </w:r>
      <w:r w:rsidRPr="0005571E">
        <w:rPr>
          <w:rFonts w:ascii="Century Gothic" w:eastAsia="Century Gothic" w:hAnsi="Century Gothic" w:cs="Century Gothic"/>
          <w:sz w:val="16"/>
          <w:szCs w:val="16"/>
          <w:lang w:val="en-US"/>
        </w:rPr>
        <w:t xml:space="preserve"> </w:t>
      </w:r>
      <w:r w:rsidR="00520073" w:rsidRPr="00520073">
        <w:rPr>
          <w:rFonts w:ascii="Century Gothic" w:eastAsia="Century Gothic" w:hAnsi="Century Gothic" w:cs="Century Gothic"/>
          <w:sz w:val="16"/>
          <w:szCs w:val="16"/>
          <w:lang w:val="en-US"/>
        </w:rPr>
        <w:t>repatriation of undeclared income; equal treatment; income regularization</w:t>
      </w:r>
      <w:r w:rsidR="00272CC8">
        <w:rPr>
          <w:rFonts w:ascii="Century Gothic" w:eastAsia="Century Gothic" w:hAnsi="Century Gothic" w:cs="Century Gothic"/>
          <w:sz w:val="16"/>
          <w:szCs w:val="16"/>
          <w:lang w:val="en-US"/>
        </w:rPr>
        <w:t>.</w:t>
      </w:r>
    </w:p>
    <w:p w14:paraId="51A1346F" w14:textId="7991F66D" w:rsidR="00FB4475" w:rsidRPr="000E6966" w:rsidRDefault="00FB4475" w:rsidP="00272CC8">
      <w:pPr>
        <w:jc w:val="both"/>
        <w:rPr>
          <w:rFonts w:ascii="Century Gothic" w:eastAsia="Century Gothic" w:hAnsi="Century Gothic" w:cs="Century Gothic"/>
          <w:sz w:val="12"/>
          <w:szCs w:val="12"/>
          <w:lang w:val="en-US"/>
        </w:rPr>
      </w:pPr>
    </w:p>
    <w:p w14:paraId="6FA7B3A6" w14:textId="77777777" w:rsidR="00FB4475" w:rsidRPr="0005571E" w:rsidRDefault="00FB4475">
      <w:pPr>
        <w:pBdr>
          <w:bottom w:val="single" w:sz="6" w:space="1" w:color="000000"/>
        </w:pBdr>
        <w:jc w:val="both"/>
        <w:rPr>
          <w:rFonts w:ascii="Century Gothic" w:eastAsia="Century Gothic" w:hAnsi="Century Gothic" w:cs="Century Gothic"/>
          <w:sz w:val="16"/>
          <w:szCs w:val="16"/>
          <w:lang w:val="en-US"/>
        </w:rPr>
        <w:sectPr w:rsidR="00FB4475" w:rsidRPr="0005571E">
          <w:headerReference w:type="default" r:id="rId11"/>
          <w:footerReference w:type="even" r:id="rId12"/>
          <w:footerReference w:type="default" r:id="rId13"/>
          <w:headerReference w:type="first" r:id="rId14"/>
          <w:footerReference w:type="first" r:id="rId15"/>
          <w:pgSz w:w="11906" w:h="16838"/>
          <w:pgMar w:top="1418" w:right="1700" w:bottom="1418" w:left="1843" w:header="737" w:footer="709" w:gutter="0"/>
          <w:pgNumType w:start="1"/>
          <w:cols w:space="720"/>
          <w:titlePg/>
        </w:sectPr>
      </w:pPr>
    </w:p>
    <w:p w14:paraId="6039CC64" w14:textId="1159DD67" w:rsidR="00866C3A" w:rsidRDefault="001F7849">
      <w:pPr>
        <w:rPr>
          <w:rFonts w:ascii="Century Gothic" w:eastAsia="Century Gothic" w:hAnsi="Century Gothic" w:cs="Century Gothic"/>
          <w:b/>
          <w:color w:val="393A6B"/>
          <w:sz w:val="18"/>
          <w:szCs w:val="18"/>
        </w:rPr>
      </w:pPr>
      <w:r>
        <w:rPr>
          <w:rFonts w:ascii="Century Gothic" w:eastAsia="Century Gothic" w:hAnsi="Century Gothic" w:cs="Century Gothic"/>
          <w:b/>
          <w:color w:val="393A6B"/>
          <w:sz w:val="18"/>
          <w:szCs w:val="18"/>
        </w:rPr>
        <w:t>INTRODUCCIÓN</w:t>
      </w:r>
    </w:p>
    <w:p w14:paraId="2655B21D" w14:textId="2B33DD8F" w:rsidR="003200ED" w:rsidRPr="003E1887" w:rsidRDefault="003200ED" w:rsidP="003200ED">
      <w:pPr>
        <w:jc w:val="both"/>
        <w:rPr>
          <w:rFonts w:ascii="Century Gothic" w:eastAsia="Century Gothic" w:hAnsi="Century Gothic" w:cs="Century Gothic"/>
          <w:sz w:val="18"/>
          <w:szCs w:val="18"/>
        </w:rPr>
      </w:pPr>
      <w:r w:rsidRPr="003200ED">
        <w:rPr>
          <w:rFonts w:ascii="Century Gothic" w:eastAsia="Century Gothic" w:hAnsi="Century Gothic" w:cs="Century Gothic"/>
          <w:sz w:val="18"/>
          <w:szCs w:val="18"/>
        </w:rPr>
        <w:t>El Decreto Legislativo N.° 1264 establece un régimen temporal y sustitutorio del impuesto a la renta que permite a los contribuyentes domiciliados en el país declarar y, de ser el caso, repatriar e invertir en Perú sus rentas no declaradas, con el objetivo de regulari</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zar sus obligaciones tributarias</w:t>
      </w:r>
      <w:r>
        <w:rPr>
          <w:rFonts w:ascii="Century Gothic" w:eastAsia="Century Gothic" w:hAnsi="Century Gothic" w:cs="Century Gothic"/>
          <w:sz w:val="18"/>
          <w:szCs w:val="18"/>
        </w:rPr>
        <w:t xml:space="preserve"> </w:t>
      </w:r>
      <w:r w:rsidRPr="003E1887">
        <w:rPr>
          <w:rFonts w:ascii="Century Gothic" w:eastAsia="Century Gothic" w:hAnsi="Century Gothic" w:cs="Century Gothic"/>
          <w:sz w:val="18"/>
          <w:szCs w:val="18"/>
        </w:rPr>
        <w:t>(</w:t>
      </w:r>
      <w:r w:rsidR="003E1887" w:rsidRPr="003E1887">
        <w:rPr>
          <w:rFonts w:ascii="Century Gothic" w:eastAsia="Century Gothic" w:hAnsi="Century Gothic" w:cs="Century Gothic"/>
          <w:sz w:val="18"/>
          <w:szCs w:val="18"/>
        </w:rPr>
        <w:t>Samhan, 2018).</w:t>
      </w:r>
      <w:r w:rsidRPr="003200ED">
        <w:rPr>
          <w:rFonts w:ascii="Century Gothic" w:eastAsia="Century Gothic" w:hAnsi="Century Gothic" w:cs="Century Gothic"/>
          <w:sz w:val="18"/>
          <w:szCs w:val="18"/>
        </w:rPr>
        <w:t xml:space="preserve"> Sin embargo, este régimen ha gene</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rado un debate significativo sobre su im</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pacto en el trato igualitario de los contribu</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 xml:space="preserve">yentes y la equidad del sistema </w:t>
      </w:r>
      <w:r w:rsidRPr="003E1887">
        <w:rPr>
          <w:rFonts w:ascii="Century Gothic" w:eastAsia="Century Gothic" w:hAnsi="Century Gothic" w:cs="Century Gothic"/>
          <w:sz w:val="18"/>
          <w:szCs w:val="18"/>
        </w:rPr>
        <w:t>tributario peruano (</w:t>
      </w:r>
      <w:r w:rsidR="003E1887" w:rsidRPr="003E1887">
        <w:rPr>
          <w:rFonts w:ascii="Century Gothic" w:eastAsia="Century Gothic" w:hAnsi="Century Gothic" w:cs="Century Gothic"/>
          <w:sz w:val="18"/>
          <w:szCs w:val="18"/>
        </w:rPr>
        <w:t>Obregón, 2017).</w:t>
      </w:r>
    </w:p>
    <w:p w14:paraId="255FEFC1" w14:textId="5DD161EB" w:rsidR="003200ED" w:rsidRPr="003200ED" w:rsidRDefault="003200ED" w:rsidP="003200ED">
      <w:pPr>
        <w:jc w:val="both"/>
        <w:rPr>
          <w:rFonts w:ascii="Century Gothic" w:eastAsia="Century Gothic" w:hAnsi="Century Gothic" w:cs="Century Gothic"/>
          <w:sz w:val="18"/>
          <w:szCs w:val="18"/>
        </w:rPr>
      </w:pPr>
      <w:r w:rsidRPr="003E1887">
        <w:rPr>
          <w:rFonts w:ascii="Century Gothic" w:eastAsia="Century Gothic" w:hAnsi="Century Gothic" w:cs="Century Gothic"/>
          <w:sz w:val="18"/>
          <w:szCs w:val="18"/>
        </w:rPr>
        <w:t>En ese orden, el problema central radica en la percepción de inequidad creada por las tasas impositivas diferenciadas aplicadas a los contribuyentes que se acogen al régi</w:t>
      </w:r>
      <w:r w:rsidR="0039303F">
        <w:rPr>
          <w:rFonts w:ascii="Century Gothic" w:eastAsia="Century Gothic" w:hAnsi="Century Gothic" w:cs="Century Gothic"/>
          <w:sz w:val="18"/>
          <w:szCs w:val="18"/>
        </w:rPr>
        <w:softHyphen/>
      </w:r>
      <w:r w:rsidRPr="003E1887">
        <w:rPr>
          <w:rFonts w:ascii="Century Gothic" w:eastAsia="Century Gothic" w:hAnsi="Century Gothic" w:cs="Century Gothic"/>
          <w:sz w:val="18"/>
          <w:szCs w:val="18"/>
        </w:rPr>
        <w:t>men de repatriación en comparación con aquellos que no lo hacen (Qui</w:t>
      </w:r>
      <w:r w:rsidR="003E1887" w:rsidRPr="003E1887">
        <w:rPr>
          <w:rFonts w:ascii="Century Gothic" w:eastAsia="Century Gothic" w:hAnsi="Century Gothic" w:cs="Century Gothic"/>
          <w:sz w:val="18"/>
          <w:szCs w:val="18"/>
        </w:rPr>
        <w:t>spe</w:t>
      </w:r>
      <w:r w:rsidRPr="003E1887">
        <w:rPr>
          <w:rFonts w:ascii="Century Gothic" w:eastAsia="Century Gothic" w:hAnsi="Century Gothic" w:cs="Century Gothic"/>
          <w:sz w:val="18"/>
          <w:szCs w:val="18"/>
        </w:rPr>
        <w:t xml:space="preserve"> et al., 20</w:t>
      </w:r>
      <w:r w:rsidR="003E1887" w:rsidRPr="003E1887">
        <w:rPr>
          <w:rFonts w:ascii="Century Gothic" w:eastAsia="Century Gothic" w:hAnsi="Century Gothic" w:cs="Century Gothic"/>
          <w:sz w:val="18"/>
          <w:szCs w:val="18"/>
        </w:rPr>
        <w:t>23</w:t>
      </w:r>
      <w:r w:rsidRPr="003E1887">
        <w:rPr>
          <w:rFonts w:ascii="Century Gothic" w:eastAsia="Century Gothic" w:hAnsi="Century Gothic" w:cs="Century Gothic"/>
          <w:sz w:val="18"/>
          <w:szCs w:val="18"/>
        </w:rPr>
        <w:t>). Mientras los</w:t>
      </w:r>
      <w:r w:rsidRPr="003200ED">
        <w:rPr>
          <w:rFonts w:ascii="Century Gothic" w:eastAsia="Century Gothic" w:hAnsi="Century Gothic" w:cs="Century Gothic"/>
          <w:sz w:val="18"/>
          <w:szCs w:val="18"/>
        </w:rPr>
        <w:t xml:space="preserve"> contribuyentes que se adhieren al régimen temporal pagan tasas reducidas del 7% o 10%, los que no se aco</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 xml:space="preserve">gen siguen sujetos a tasas progresivas que varían entre el 8% y el 30%. </w:t>
      </w:r>
      <w:r w:rsidR="00E26502">
        <w:rPr>
          <w:rFonts w:ascii="Century Gothic" w:eastAsia="Century Gothic" w:hAnsi="Century Gothic" w:cs="Century Gothic"/>
          <w:sz w:val="18"/>
          <w:szCs w:val="18"/>
        </w:rPr>
        <w:t>Por tanto, e</w:t>
      </w:r>
      <w:r w:rsidRPr="003200ED">
        <w:rPr>
          <w:rFonts w:ascii="Century Gothic" w:eastAsia="Century Gothic" w:hAnsi="Century Gothic" w:cs="Century Gothic"/>
          <w:sz w:val="18"/>
          <w:szCs w:val="18"/>
        </w:rPr>
        <w:t xml:space="preserve">sta disparidad puede ser vista como un trato </w:t>
      </w:r>
      <w:r w:rsidRPr="003200ED">
        <w:rPr>
          <w:rFonts w:ascii="Century Gothic" w:eastAsia="Century Gothic" w:hAnsi="Century Gothic" w:cs="Century Gothic"/>
          <w:sz w:val="18"/>
          <w:szCs w:val="18"/>
        </w:rPr>
        <w:lastRenderedPageBreak/>
        <w:t>preferencial hacia los infractores que se be</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nefician del régimen, generando una sensa</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 xml:space="preserve">ción de injusticia entre contribuyentes </w:t>
      </w:r>
      <w:r w:rsidR="00E26502">
        <w:rPr>
          <w:rFonts w:ascii="Century Gothic" w:eastAsia="Century Gothic" w:hAnsi="Century Gothic" w:cs="Century Gothic"/>
          <w:sz w:val="18"/>
          <w:szCs w:val="18"/>
        </w:rPr>
        <w:t>(</w:t>
      </w:r>
      <w:r w:rsidR="00E26502" w:rsidRPr="00E26502">
        <w:rPr>
          <w:rFonts w:ascii="Century Gothic" w:eastAsia="Century Gothic" w:hAnsi="Century Gothic" w:cs="Century Gothic"/>
          <w:sz w:val="18"/>
          <w:szCs w:val="18"/>
        </w:rPr>
        <w:t xml:space="preserve">Abdurrahmani </w:t>
      </w:r>
      <w:r w:rsidR="000E6966">
        <w:rPr>
          <w:rFonts w:ascii="Century Gothic" w:eastAsia="Century Gothic" w:hAnsi="Century Gothic" w:cs="Century Gothic"/>
          <w:sz w:val="18"/>
          <w:szCs w:val="18"/>
        </w:rPr>
        <w:t>y</w:t>
      </w:r>
      <w:r w:rsidR="00E26502" w:rsidRPr="00E26502">
        <w:rPr>
          <w:rFonts w:ascii="Century Gothic" w:eastAsia="Century Gothic" w:hAnsi="Century Gothic" w:cs="Century Gothic"/>
          <w:sz w:val="18"/>
          <w:szCs w:val="18"/>
        </w:rPr>
        <w:t xml:space="preserve"> Doğan, 2019).</w:t>
      </w:r>
    </w:p>
    <w:p w14:paraId="24C42F78" w14:textId="4B1B100F" w:rsidR="003200ED" w:rsidRPr="003200ED" w:rsidRDefault="003200ED" w:rsidP="003200ED">
      <w:pPr>
        <w:jc w:val="both"/>
        <w:rPr>
          <w:rFonts w:ascii="Century Gothic" w:eastAsia="Century Gothic" w:hAnsi="Century Gothic" w:cs="Century Gothic"/>
          <w:sz w:val="18"/>
          <w:szCs w:val="18"/>
        </w:rPr>
      </w:pPr>
      <w:r w:rsidRPr="003200ED">
        <w:rPr>
          <w:rFonts w:ascii="Century Gothic" w:eastAsia="Century Gothic" w:hAnsi="Century Gothic" w:cs="Century Gothic"/>
          <w:sz w:val="18"/>
          <w:szCs w:val="18"/>
        </w:rPr>
        <w:t>Adicionalmente, el párrafo 12.4 del artículo 12 del D</w:t>
      </w:r>
      <w:r>
        <w:rPr>
          <w:rFonts w:ascii="Century Gothic" w:eastAsia="Century Gothic" w:hAnsi="Century Gothic" w:cs="Century Gothic"/>
          <w:sz w:val="18"/>
          <w:szCs w:val="18"/>
        </w:rPr>
        <w:t>.L.</w:t>
      </w:r>
      <w:r w:rsidRPr="003200ED">
        <w:rPr>
          <w:rFonts w:ascii="Century Gothic" w:eastAsia="Century Gothic" w:hAnsi="Century Gothic" w:cs="Century Gothic"/>
          <w:sz w:val="18"/>
          <w:szCs w:val="18"/>
        </w:rPr>
        <w:t xml:space="preserve"> N.° 1264 establece que la falta de sustento de la información declarada sobre bienes, derechos, dinero o rentas no decla</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radas, requerida por la SUNAT, anula los be</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neficios del régimen para la parte no susten</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tada. A pesar de esto, el impuesto pagado por esta parte no sustentada no genera de</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recho a devolución, pero puede ser com</w:t>
      </w:r>
      <w:r w:rsidR="0039303F">
        <w:rPr>
          <w:rFonts w:ascii="Century Gothic" w:eastAsia="Century Gothic" w:hAnsi="Century Gothic" w:cs="Century Gothic"/>
          <w:sz w:val="18"/>
          <w:szCs w:val="18"/>
        </w:rPr>
        <w:softHyphen/>
      </w:r>
      <w:r w:rsidRPr="003200ED">
        <w:rPr>
          <w:rFonts w:ascii="Century Gothic" w:eastAsia="Century Gothic" w:hAnsi="Century Gothic" w:cs="Century Gothic"/>
          <w:sz w:val="18"/>
          <w:szCs w:val="18"/>
        </w:rPr>
        <w:t xml:space="preserve">pensado de oficio o a solicitud de parte, </w:t>
      </w:r>
      <w:r w:rsidRPr="003E1887">
        <w:rPr>
          <w:rFonts w:ascii="Century Gothic" w:eastAsia="Century Gothic" w:hAnsi="Century Gothic" w:cs="Century Gothic"/>
          <w:sz w:val="18"/>
          <w:szCs w:val="18"/>
        </w:rPr>
        <w:t>según el artículo 40 del Código Tributario (</w:t>
      </w:r>
      <w:r w:rsidR="003E1887" w:rsidRPr="003E1887">
        <w:rPr>
          <w:rFonts w:ascii="Century Gothic" w:eastAsia="Century Gothic" w:hAnsi="Century Gothic" w:cs="Century Gothic"/>
          <w:sz w:val="18"/>
          <w:szCs w:val="18"/>
        </w:rPr>
        <w:t>PricewaterhouseCoopers</w:t>
      </w:r>
      <w:r w:rsidR="003E1887">
        <w:rPr>
          <w:rFonts w:ascii="Century Gothic" w:eastAsia="Century Gothic" w:hAnsi="Century Gothic" w:cs="Century Gothic"/>
          <w:sz w:val="18"/>
          <w:szCs w:val="18"/>
        </w:rPr>
        <w:t xml:space="preserve">, </w:t>
      </w:r>
      <w:r w:rsidR="003E1887" w:rsidRPr="003E1887">
        <w:rPr>
          <w:rFonts w:ascii="Century Gothic" w:eastAsia="Century Gothic" w:hAnsi="Century Gothic" w:cs="Century Gothic"/>
          <w:sz w:val="18"/>
          <w:szCs w:val="18"/>
        </w:rPr>
        <w:t>2016).</w:t>
      </w:r>
      <w:r w:rsidRPr="003200E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En esa línea, e</w:t>
      </w:r>
      <w:r w:rsidRPr="003200ED">
        <w:rPr>
          <w:rFonts w:ascii="Century Gothic" w:eastAsia="Century Gothic" w:hAnsi="Century Gothic" w:cs="Century Gothic"/>
          <w:sz w:val="18"/>
          <w:szCs w:val="18"/>
        </w:rPr>
        <w:t xml:space="preserve">ste mecanismo, aunque permite una cierta flexibilidad para los contribuyentes, también puede ser percibido como una laxitud en la aplicación de </w:t>
      </w:r>
      <w:r w:rsidRPr="003E1887">
        <w:rPr>
          <w:rFonts w:ascii="Century Gothic" w:eastAsia="Century Gothic" w:hAnsi="Century Gothic" w:cs="Century Gothic"/>
          <w:sz w:val="18"/>
          <w:szCs w:val="18"/>
        </w:rPr>
        <w:t>sanciones por incumplimientos fiscales (</w:t>
      </w:r>
      <w:r w:rsidR="003E1887" w:rsidRPr="003E1887">
        <w:rPr>
          <w:rFonts w:ascii="Century Gothic" w:eastAsia="Century Gothic" w:hAnsi="Century Gothic" w:cs="Century Gothic"/>
          <w:sz w:val="18"/>
          <w:szCs w:val="18"/>
        </w:rPr>
        <w:t>Obregón, 2017)</w:t>
      </w:r>
      <w:r w:rsidRPr="003E1887">
        <w:rPr>
          <w:rFonts w:ascii="Century Gothic" w:eastAsia="Century Gothic" w:hAnsi="Century Gothic" w:cs="Century Gothic"/>
          <w:sz w:val="18"/>
          <w:szCs w:val="18"/>
        </w:rPr>
        <w:t>.</w:t>
      </w:r>
    </w:p>
    <w:p w14:paraId="49B9F4E6" w14:textId="3D5D452C" w:rsidR="003200ED" w:rsidRPr="00E26502" w:rsidRDefault="00047BD9" w:rsidP="003200ED">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Asimismo, l</w:t>
      </w:r>
      <w:r w:rsidR="003200ED" w:rsidRPr="003200ED">
        <w:rPr>
          <w:rFonts w:ascii="Century Gothic" w:eastAsia="Century Gothic" w:hAnsi="Century Gothic" w:cs="Century Gothic"/>
          <w:sz w:val="18"/>
          <w:szCs w:val="18"/>
        </w:rPr>
        <w:t>a repatriación de rentas no declaradas también plantea el riesgo de facilitar la ocultación de rentas mediante terceros. La disposición que permite que el dinero producto de rentas no declaradas esté a nombre de un tercero facilita la elusión fiscal, ya que los contribuyentes pueden utilizar intermed</w:t>
      </w:r>
      <w:r w:rsidR="003200ED" w:rsidRPr="003E1887">
        <w:rPr>
          <w:rFonts w:ascii="Century Gothic" w:eastAsia="Century Gothic" w:hAnsi="Century Gothic" w:cs="Century Gothic"/>
          <w:sz w:val="18"/>
          <w:szCs w:val="18"/>
        </w:rPr>
        <w:t>iarios para evadir su responsabilidad fiscal (</w:t>
      </w:r>
      <w:r w:rsidR="003E1887" w:rsidRPr="003E1887">
        <w:rPr>
          <w:rFonts w:ascii="Century Gothic" w:eastAsia="Century Gothic" w:hAnsi="Century Gothic" w:cs="Century Gothic"/>
          <w:sz w:val="18"/>
          <w:szCs w:val="18"/>
        </w:rPr>
        <w:t>Castañeda, 2017a).</w:t>
      </w:r>
      <w:r w:rsidR="003200ED" w:rsidRPr="003200ED">
        <w:rPr>
          <w:rFonts w:ascii="Century Gothic" w:eastAsia="Century Gothic" w:hAnsi="Century Gothic" w:cs="Century Gothic"/>
          <w:sz w:val="18"/>
          <w:szCs w:val="18"/>
        </w:rPr>
        <w:t xml:space="preserve"> Este aspecto contribuye a la percepción de impunidad, ya que los infractores pueden beneficiarse del régimen sin afrontar completamente </w:t>
      </w:r>
      <w:r w:rsidR="003200ED" w:rsidRPr="00E26502">
        <w:rPr>
          <w:rFonts w:ascii="Century Gothic" w:eastAsia="Century Gothic" w:hAnsi="Century Gothic" w:cs="Century Gothic"/>
          <w:sz w:val="18"/>
          <w:szCs w:val="18"/>
        </w:rPr>
        <w:t>las consecuencias de su incumplimiento (</w:t>
      </w:r>
      <w:r w:rsidR="00E26502" w:rsidRPr="00E26502">
        <w:rPr>
          <w:rFonts w:ascii="Century Gothic" w:eastAsia="Century Gothic" w:hAnsi="Century Gothic" w:cs="Century Gothic"/>
          <w:sz w:val="18"/>
          <w:szCs w:val="18"/>
        </w:rPr>
        <w:t>Hadipryanto et al., 2023</w:t>
      </w:r>
      <w:r w:rsidR="003200ED" w:rsidRPr="00E26502">
        <w:rPr>
          <w:rFonts w:ascii="Century Gothic" w:eastAsia="Century Gothic" w:hAnsi="Century Gothic" w:cs="Century Gothic"/>
          <w:sz w:val="18"/>
          <w:szCs w:val="18"/>
        </w:rPr>
        <w:t>).</w:t>
      </w:r>
    </w:p>
    <w:p w14:paraId="10ED4959" w14:textId="41E53C0E" w:rsidR="003200ED" w:rsidRDefault="003200ED" w:rsidP="003200ED">
      <w:pPr>
        <w:jc w:val="both"/>
        <w:rPr>
          <w:rFonts w:ascii="Century Gothic" w:eastAsia="Century Gothic" w:hAnsi="Century Gothic" w:cs="Century Gothic"/>
          <w:sz w:val="18"/>
          <w:szCs w:val="18"/>
        </w:rPr>
      </w:pPr>
      <w:r w:rsidRPr="00E26502">
        <w:rPr>
          <w:rFonts w:ascii="Century Gothic" w:eastAsia="Century Gothic" w:hAnsi="Century Gothic" w:cs="Century Gothic"/>
          <w:sz w:val="18"/>
          <w:szCs w:val="18"/>
        </w:rPr>
        <w:t>En ese sentido, la realidad asociada con la repatriación de rentas no declaradas</w:t>
      </w:r>
      <w:r w:rsidRPr="003200ED">
        <w:rPr>
          <w:rFonts w:ascii="Century Gothic" w:eastAsia="Century Gothic" w:hAnsi="Century Gothic" w:cs="Century Gothic"/>
          <w:sz w:val="18"/>
          <w:szCs w:val="18"/>
        </w:rPr>
        <w:t xml:space="preserve"> y el trato igualitario a los contribuyentes se manifiesta a través de la desigualdad en las tasas impositivas y la percepción de trato preferencial hacia los infractores. Este régimen puede socavar la confianza en el sistema tributario y desincentivar el cumplimiento voluntario de las obligaciones fiscales</w:t>
      </w:r>
      <w:r w:rsidRPr="003E1887">
        <w:rPr>
          <w:rFonts w:ascii="Century Gothic" w:eastAsia="Century Gothic" w:hAnsi="Century Gothic" w:cs="Century Gothic"/>
          <w:sz w:val="18"/>
          <w:szCs w:val="18"/>
        </w:rPr>
        <w:t xml:space="preserve"> (</w:t>
      </w:r>
      <w:r w:rsidR="003E1887" w:rsidRPr="003E1887">
        <w:rPr>
          <w:rFonts w:ascii="Century Gothic" w:eastAsia="Century Gothic" w:hAnsi="Century Gothic" w:cs="Century Gothic"/>
          <w:sz w:val="18"/>
          <w:szCs w:val="18"/>
        </w:rPr>
        <w:t>PricewaterhouseCoopers</w:t>
      </w:r>
      <w:r w:rsidR="003E1887">
        <w:rPr>
          <w:rFonts w:ascii="Century Gothic" w:eastAsia="Century Gothic" w:hAnsi="Century Gothic" w:cs="Century Gothic"/>
          <w:sz w:val="18"/>
          <w:szCs w:val="18"/>
        </w:rPr>
        <w:t xml:space="preserve">, </w:t>
      </w:r>
      <w:r w:rsidR="003E1887" w:rsidRPr="003E1887">
        <w:rPr>
          <w:rFonts w:ascii="Century Gothic" w:eastAsia="Century Gothic" w:hAnsi="Century Gothic" w:cs="Century Gothic"/>
          <w:sz w:val="18"/>
          <w:szCs w:val="18"/>
        </w:rPr>
        <w:t>2017).</w:t>
      </w:r>
    </w:p>
    <w:p w14:paraId="58F9AF33" w14:textId="7CF070C0" w:rsidR="003200ED" w:rsidRPr="003200ED" w:rsidRDefault="003200ED" w:rsidP="003200ED">
      <w:pPr>
        <w:jc w:val="both"/>
        <w:rPr>
          <w:rFonts w:ascii="Century Gothic" w:eastAsia="Century Gothic" w:hAnsi="Century Gothic" w:cs="Century Gothic"/>
          <w:sz w:val="18"/>
          <w:szCs w:val="18"/>
        </w:rPr>
      </w:pPr>
      <w:r w:rsidRPr="003200ED">
        <w:rPr>
          <w:rFonts w:ascii="Century Gothic" w:eastAsia="Century Gothic" w:hAnsi="Century Gothic" w:cs="Century Gothic"/>
          <w:sz w:val="18"/>
          <w:szCs w:val="18"/>
        </w:rPr>
        <w:t xml:space="preserve">En el contexto </w:t>
      </w:r>
      <w:r>
        <w:rPr>
          <w:rFonts w:ascii="Century Gothic" w:eastAsia="Century Gothic" w:hAnsi="Century Gothic" w:cs="Century Gothic"/>
          <w:sz w:val="18"/>
          <w:szCs w:val="18"/>
        </w:rPr>
        <w:t xml:space="preserve">de </w:t>
      </w:r>
      <w:r w:rsidR="00972FCF">
        <w:rPr>
          <w:rFonts w:ascii="Century Gothic" w:eastAsia="Century Gothic" w:hAnsi="Century Gothic" w:cs="Century Gothic"/>
          <w:sz w:val="18"/>
          <w:szCs w:val="18"/>
        </w:rPr>
        <w:t>análisis</w:t>
      </w:r>
      <w:r w:rsidRPr="003200ED">
        <w:rPr>
          <w:rFonts w:ascii="Century Gothic" w:eastAsia="Century Gothic" w:hAnsi="Century Gothic" w:cs="Century Gothic"/>
          <w:sz w:val="18"/>
          <w:szCs w:val="18"/>
        </w:rPr>
        <w:t xml:space="preserve">, las medidas que limitan la capacidad de la SUNAT para sancionar y cobrar intereses por rentas no declaradas acogidas a ciertos regímenes presentan una problemática significativa. Estas disposiciones pueden ser vistas como un </w:t>
      </w:r>
      <w:r w:rsidRPr="00555EEF">
        <w:rPr>
          <w:rFonts w:ascii="Century Gothic" w:eastAsia="Century Gothic" w:hAnsi="Century Gothic" w:cs="Century Gothic"/>
          <w:sz w:val="18"/>
          <w:szCs w:val="18"/>
        </w:rPr>
        <w:t xml:space="preserve">incentivo para el incumplimiento </w:t>
      </w:r>
      <w:r w:rsidR="00555EEF" w:rsidRPr="00555EEF">
        <w:rPr>
          <w:rFonts w:ascii="Century Gothic" w:eastAsia="Century Gothic" w:hAnsi="Century Gothic" w:cs="Century Gothic"/>
          <w:sz w:val="18"/>
          <w:szCs w:val="18"/>
        </w:rPr>
        <w:t xml:space="preserve">fiscal </w:t>
      </w:r>
      <w:r w:rsidR="00972FCF" w:rsidRPr="00555EEF">
        <w:rPr>
          <w:rFonts w:ascii="Century Gothic" w:eastAsia="Century Gothic" w:hAnsi="Century Gothic" w:cs="Century Gothic"/>
          <w:sz w:val="18"/>
          <w:szCs w:val="18"/>
        </w:rPr>
        <w:t>(</w:t>
      </w:r>
      <w:r w:rsidR="00555EEF" w:rsidRPr="00555EEF">
        <w:rPr>
          <w:rFonts w:ascii="Century Gothic" w:eastAsia="Century Gothic" w:hAnsi="Century Gothic" w:cs="Century Gothic"/>
          <w:sz w:val="18"/>
          <w:szCs w:val="18"/>
        </w:rPr>
        <w:t>Gonzáles, 2023</w:t>
      </w:r>
      <w:r w:rsidR="00972FCF" w:rsidRPr="00555EEF">
        <w:rPr>
          <w:rFonts w:ascii="Century Gothic" w:eastAsia="Century Gothic" w:hAnsi="Century Gothic" w:cs="Century Gothic"/>
          <w:sz w:val="18"/>
          <w:szCs w:val="18"/>
        </w:rPr>
        <w:t>),</w:t>
      </w:r>
      <w:r w:rsidRPr="00555EEF">
        <w:rPr>
          <w:rFonts w:ascii="Century Gothic" w:eastAsia="Century Gothic" w:hAnsi="Century Gothic" w:cs="Century Gothic"/>
          <w:sz w:val="18"/>
          <w:szCs w:val="18"/>
        </w:rPr>
        <w:t xml:space="preserve"> dado que reducen las consecuencias negativas de no declarar adecuadamente las rentas</w:t>
      </w:r>
      <w:r w:rsidRPr="003200ED">
        <w:rPr>
          <w:rFonts w:ascii="Century Gothic" w:eastAsia="Century Gothic" w:hAnsi="Century Gothic" w:cs="Century Gothic"/>
          <w:sz w:val="18"/>
          <w:szCs w:val="18"/>
        </w:rPr>
        <w:t>. La percepción de que el sistema permite la impunidad en casos de evasión fiscal y lavado de activos relacionados crea un ambiente donde el cumplimiento voluntario se desincentiva.</w:t>
      </w:r>
    </w:p>
    <w:p w14:paraId="3EC33D3A" w14:textId="1C1F7346" w:rsidR="003200ED" w:rsidRPr="003200ED" w:rsidRDefault="003200ED" w:rsidP="003200ED">
      <w:pPr>
        <w:jc w:val="both"/>
        <w:rPr>
          <w:rFonts w:ascii="Century Gothic" w:eastAsia="Century Gothic" w:hAnsi="Century Gothic" w:cs="Century Gothic"/>
          <w:sz w:val="18"/>
          <w:szCs w:val="18"/>
        </w:rPr>
      </w:pPr>
      <w:r w:rsidRPr="003200ED">
        <w:rPr>
          <w:rFonts w:ascii="Century Gothic" w:eastAsia="Century Gothic" w:hAnsi="Century Gothic" w:cs="Century Gothic"/>
          <w:sz w:val="18"/>
          <w:szCs w:val="18"/>
        </w:rPr>
        <w:t>Además, la exoneración de responsabilidad penal en estos casos introduce una distorsión en el sistema de justicia, dando la impresión de un trato preferencial hacia ciertos contribuyentes</w:t>
      </w:r>
      <w:r w:rsidR="00972FCF" w:rsidRPr="00D10614">
        <w:rPr>
          <w:rFonts w:ascii="Century Gothic" w:eastAsia="Century Gothic" w:hAnsi="Century Gothic" w:cs="Century Gothic"/>
          <w:sz w:val="18"/>
          <w:szCs w:val="18"/>
        </w:rPr>
        <w:t xml:space="preserve"> (</w:t>
      </w:r>
      <w:r w:rsidR="000624F1" w:rsidRPr="00D10614">
        <w:rPr>
          <w:rFonts w:ascii="Century Gothic" w:eastAsia="Century Gothic" w:hAnsi="Century Gothic" w:cs="Century Gothic"/>
          <w:sz w:val="18"/>
          <w:szCs w:val="18"/>
        </w:rPr>
        <w:t>Castañeda, 2017b).</w:t>
      </w:r>
      <w:r w:rsidRPr="003200ED">
        <w:rPr>
          <w:rFonts w:ascii="Century Gothic" w:eastAsia="Century Gothic" w:hAnsi="Century Gothic" w:cs="Century Gothic"/>
          <w:sz w:val="18"/>
          <w:szCs w:val="18"/>
        </w:rPr>
        <w:t xml:space="preserve"> </w:t>
      </w:r>
    </w:p>
    <w:p w14:paraId="4A7C4DB7" w14:textId="7F41D899" w:rsidR="002362FC" w:rsidRPr="002362FC" w:rsidRDefault="00972FCF" w:rsidP="002362FC">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Por tanto, </w:t>
      </w:r>
      <w:r w:rsidR="005904AF">
        <w:rPr>
          <w:rFonts w:ascii="Century Gothic" w:eastAsia="Century Gothic" w:hAnsi="Century Gothic" w:cs="Century Gothic"/>
          <w:sz w:val="18"/>
          <w:szCs w:val="18"/>
        </w:rPr>
        <w:t>l</w:t>
      </w:r>
      <w:r w:rsidR="005904AF" w:rsidRPr="005904AF">
        <w:rPr>
          <w:rFonts w:ascii="Century Gothic" w:eastAsia="Century Gothic" w:hAnsi="Century Gothic" w:cs="Century Gothic"/>
          <w:sz w:val="18"/>
          <w:szCs w:val="18"/>
        </w:rPr>
        <w:t xml:space="preserve">a repatriación de rentas no declaradas se refiere al proceso mediante el cual los contribuyentes pueden declarar y traer de vuelta al país rentas obtenidas en el extranjero que no han sido previamente declaradas ante la administración </w:t>
      </w:r>
      <w:r w:rsidR="005904AF">
        <w:rPr>
          <w:rFonts w:ascii="Century Gothic" w:eastAsia="Century Gothic" w:hAnsi="Century Gothic" w:cs="Century Gothic"/>
          <w:sz w:val="18"/>
          <w:szCs w:val="18"/>
        </w:rPr>
        <w:t>fiscal</w:t>
      </w:r>
      <w:r w:rsidR="005904AF" w:rsidRPr="005904AF">
        <w:rPr>
          <w:rFonts w:ascii="Century Gothic" w:eastAsia="Century Gothic" w:hAnsi="Century Gothic" w:cs="Century Gothic"/>
          <w:sz w:val="18"/>
          <w:szCs w:val="18"/>
        </w:rPr>
        <w:t xml:space="preserve">. </w:t>
      </w:r>
      <w:r w:rsidR="002D5734">
        <w:rPr>
          <w:rFonts w:ascii="Century Gothic" w:eastAsia="Century Gothic" w:hAnsi="Century Gothic" w:cs="Century Gothic"/>
          <w:sz w:val="18"/>
          <w:szCs w:val="18"/>
        </w:rPr>
        <w:t xml:space="preserve">Además, </w:t>
      </w:r>
      <w:r w:rsidR="005904AF" w:rsidRPr="005904AF">
        <w:rPr>
          <w:rFonts w:ascii="Century Gothic" w:eastAsia="Century Gothic" w:hAnsi="Century Gothic" w:cs="Century Gothic"/>
          <w:sz w:val="18"/>
          <w:szCs w:val="18"/>
        </w:rPr>
        <w:t>busca incentivar la regularización de las rentas no declaradas a cambio de beneficios fiscales, como la reducción de multas o la aplicación de tasas impositivas preferenciales</w:t>
      </w:r>
      <w:r w:rsidR="002D5734">
        <w:rPr>
          <w:rFonts w:ascii="Century Gothic" w:eastAsia="Century Gothic" w:hAnsi="Century Gothic" w:cs="Century Gothic"/>
          <w:sz w:val="18"/>
          <w:szCs w:val="18"/>
        </w:rPr>
        <w:t xml:space="preserve"> (</w:t>
      </w:r>
      <w:r w:rsidR="002D5734" w:rsidRPr="002D5734">
        <w:rPr>
          <w:rFonts w:ascii="Century Gothic" w:eastAsia="Century Gothic" w:hAnsi="Century Gothic" w:cs="Century Gothic"/>
          <w:sz w:val="18"/>
          <w:szCs w:val="18"/>
        </w:rPr>
        <w:t>D</w:t>
      </w:r>
      <w:r w:rsidR="002D5734">
        <w:rPr>
          <w:rFonts w:ascii="Century Gothic" w:eastAsia="Century Gothic" w:hAnsi="Century Gothic" w:cs="Century Gothic"/>
          <w:sz w:val="18"/>
          <w:szCs w:val="18"/>
        </w:rPr>
        <w:t>.L.</w:t>
      </w:r>
      <w:r w:rsidR="002D5734" w:rsidRPr="002D5734">
        <w:rPr>
          <w:rFonts w:ascii="Century Gothic" w:eastAsia="Century Gothic" w:hAnsi="Century Gothic" w:cs="Century Gothic"/>
          <w:sz w:val="18"/>
          <w:szCs w:val="18"/>
        </w:rPr>
        <w:t xml:space="preserve"> N.° 1264</w:t>
      </w:r>
      <w:r w:rsidR="002D5734">
        <w:rPr>
          <w:rFonts w:ascii="Century Gothic" w:eastAsia="Century Gothic" w:hAnsi="Century Gothic" w:cs="Century Gothic"/>
          <w:sz w:val="18"/>
          <w:szCs w:val="18"/>
        </w:rPr>
        <w:t>).</w:t>
      </w:r>
      <w:r w:rsidR="002362FC">
        <w:rPr>
          <w:rFonts w:ascii="Century Gothic" w:eastAsia="Century Gothic" w:hAnsi="Century Gothic" w:cs="Century Gothic"/>
          <w:sz w:val="18"/>
          <w:szCs w:val="18"/>
        </w:rPr>
        <w:t xml:space="preserve"> En esa línea, las dimensiones de esta variable para un mejor análisis se trazan en la r</w:t>
      </w:r>
      <w:r w:rsidR="002362FC" w:rsidRPr="002362FC">
        <w:rPr>
          <w:rFonts w:ascii="Century Gothic" w:eastAsia="Century Gothic" w:hAnsi="Century Gothic" w:cs="Century Gothic"/>
          <w:sz w:val="18"/>
          <w:szCs w:val="18"/>
        </w:rPr>
        <w:t>egularización de ingresos no declarados</w:t>
      </w:r>
      <w:r w:rsidR="002362FC">
        <w:rPr>
          <w:rFonts w:ascii="Century Gothic" w:eastAsia="Century Gothic" w:hAnsi="Century Gothic" w:cs="Century Gothic"/>
          <w:sz w:val="18"/>
          <w:szCs w:val="18"/>
        </w:rPr>
        <w:t>, i</w:t>
      </w:r>
      <w:r w:rsidR="002362FC" w:rsidRPr="002362FC">
        <w:rPr>
          <w:rFonts w:ascii="Century Gothic" w:eastAsia="Century Gothic" w:hAnsi="Century Gothic" w:cs="Century Gothic"/>
          <w:sz w:val="18"/>
          <w:szCs w:val="18"/>
        </w:rPr>
        <w:t>ncentivo a la declaración y repatriación</w:t>
      </w:r>
      <w:r w:rsidR="002362FC">
        <w:rPr>
          <w:rFonts w:ascii="Century Gothic" w:eastAsia="Century Gothic" w:hAnsi="Century Gothic" w:cs="Century Gothic"/>
          <w:sz w:val="18"/>
          <w:szCs w:val="18"/>
        </w:rPr>
        <w:t>, y las o</w:t>
      </w:r>
      <w:r w:rsidR="002362FC" w:rsidRPr="002362FC">
        <w:rPr>
          <w:rFonts w:ascii="Century Gothic" w:eastAsia="Century Gothic" w:hAnsi="Century Gothic" w:cs="Century Gothic"/>
          <w:sz w:val="18"/>
          <w:szCs w:val="18"/>
        </w:rPr>
        <w:t xml:space="preserve">bligaciones fiscales y políticas tributarias </w:t>
      </w:r>
    </w:p>
    <w:p w14:paraId="7B4EAEB2" w14:textId="34737BC8" w:rsidR="00972FCF" w:rsidRDefault="002D5734" w:rsidP="003200ED">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En ese orden, l</w:t>
      </w:r>
      <w:r w:rsidRPr="002D5734">
        <w:rPr>
          <w:rFonts w:ascii="Century Gothic" w:eastAsia="Century Gothic" w:hAnsi="Century Gothic" w:cs="Century Gothic"/>
          <w:sz w:val="18"/>
          <w:szCs w:val="18"/>
        </w:rPr>
        <w:t>as rentas no declaradas son aquellas que están sujetas al Impuesto a la Renta</w:t>
      </w:r>
      <w:r>
        <w:rPr>
          <w:rFonts w:ascii="Century Gothic" w:eastAsia="Century Gothic" w:hAnsi="Century Gothic" w:cs="Century Gothic"/>
          <w:sz w:val="18"/>
          <w:szCs w:val="18"/>
        </w:rPr>
        <w:t xml:space="preserve"> (IR)</w:t>
      </w:r>
      <w:r w:rsidRPr="002D5734">
        <w:rPr>
          <w:rFonts w:ascii="Century Gothic" w:eastAsia="Century Gothic" w:hAnsi="Century Gothic" w:cs="Century Gothic"/>
          <w:sz w:val="18"/>
          <w:szCs w:val="18"/>
        </w:rPr>
        <w:t xml:space="preserve"> y, al momento de acogerse al Régimen, no han sido reportadas ni han tenido retención o pago correspondiente. Esto también abarca las rentas calculadas en función de incrementos patrimoniales no justificados, tal como se menciona en el artículo 52 de la Ley del Impuesto a la Renta.</w:t>
      </w:r>
    </w:p>
    <w:p w14:paraId="4BCF4E9B" w14:textId="269EF2AE" w:rsidR="002362FC" w:rsidRPr="002362FC" w:rsidRDefault="002D5734" w:rsidP="002362FC">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Por otro lado, </w:t>
      </w:r>
      <w:r w:rsidR="002362FC">
        <w:rPr>
          <w:rFonts w:ascii="Century Gothic" w:eastAsia="Century Gothic" w:hAnsi="Century Gothic" w:cs="Century Gothic"/>
          <w:sz w:val="18"/>
          <w:szCs w:val="18"/>
        </w:rPr>
        <w:t>e</w:t>
      </w:r>
      <w:r w:rsidR="002362FC" w:rsidRPr="002362FC">
        <w:rPr>
          <w:rFonts w:ascii="Century Gothic" w:eastAsia="Century Gothic" w:hAnsi="Century Gothic" w:cs="Century Gothic"/>
          <w:sz w:val="18"/>
          <w:szCs w:val="18"/>
        </w:rPr>
        <w:t>l trato igualitario se refiere a la</w:t>
      </w:r>
      <w:r w:rsidR="002362FC">
        <w:rPr>
          <w:rFonts w:ascii="Century Gothic" w:eastAsia="Century Gothic" w:hAnsi="Century Gothic" w:cs="Century Gothic"/>
          <w:sz w:val="18"/>
          <w:szCs w:val="18"/>
        </w:rPr>
        <w:t xml:space="preserve"> adopción</w:t>
      </w:r>
      <w:r w:rsidR="002362FC" w:rsidRPr="002362FC">
        <w:rPr>
          <w:rFonts w:ascii="Century Gothic" w:eastAsia="Century Gothic" w:hAnsi="Century Gothic" w:cs="Century Gothic"/>
          <w:sz w:val="18"/>
          <w:szCs w:val="18"/>
        </w:rPr>
        <w:t xml:space="preserve"> justa y equitativa de las leyes fiscales para todos los contribuyentes,</w:t>
      </w:r>
      <w:r w:rsidR="002362FC">
        <w:rPr>
          <w:rFonts w:ascii="Century Gothic" w:eastAsia="Century Gothic" w:hAnsi="Century Gothic" w:cs="Century Gothic"/>
          <w:sz w:val="18"/>
          <w:szCs w:val="18"/>
        </w:rPr>
        <w:t xml:space="preserve"> e</w:t>
      </w:r>
      <w:r w:rsidR="002362FC" w:rsidRPr="002362FC">
        <w:rPr>
          <w:rFonts w:ascii="Century Gothic" w:eastAsia="Century Gothic" w:hAnsi="Century Gothic" w:cs="Century Gothic"/>
          <w:sz w:val="18"/>
          <w:szCs w:val="18"/>
        </w:rPr>
        <w:t xml:space="preserve">ste principio asegura que todas las personas y entidades, independientemente de su tamaño, sector o nivel de ingresos, reciban un tratamiento </w:t>
      </w:r>
      <w:r w:rsidR="002362FC">
        <w:rPr>
          <w:rFonts w:ascii="Century Gothic" w:eastAsia="Century Gothic" w:hAnsi="Century Gothic" w:cs="Century Gothic"/>
          <w:sz w:val="18"/>
          <w:szCs w:val="18"/>
        </w:rPr>
        <w:t>equitativo y justo</w:t>
      </w:r>
      <w:r w:rsidR="002362FC" w:rsidRPr="002362FC">
        <w:rPr>
          <w:rFonts w:ascii="Century Gothic" w:eastAsia="Century Gothic" w:hAnsi="Century Gothic" w:cs="Century Gothic"/>
          <w:sz w:val="18"/>
          <w:szCs w:val="18"/>
        </w:rPr>
        <w:t xml:space="preserve"> respecto a sus derechos y obligaciones fiscales.</w:t>
      </w:r>
      <w:r w:rsidR="002362FC" w:rsidRPr="002362FC">
        <w:t xml:space="preserve"> </w:t>
      </w:r>
      <w:r w:rsidR="002362FC" w:rsidRPr="002362FC">
        <w:rPr>
          <w:rFonts w:ascii="Century Gothic" w:eastAsia="Century Gothic" w:hAnsi="Century Gothic" w:cs="Century Gothic"/>
          <w:sz w:val="18"/>
          <w:szCs w:val="18"/>
        </w:rPr>
        <w:t>En esa línea, las dimensiones de esta variable se delinean en imposición justa y equitativa de</w:t>
      </w:r>
      <w:r w:rsidR="00AC4482">
        <w:rPr>
          <w:rFonts w:ascii="Century Gothic" w:eastAsia="Century Gothic" w:hAnsi="Century Gothic" w:cs="Century Gothic"/>
          <w:sz w:val="18"/>
          <w:szCs w:val="18"/>
        </w:rPr>
        <w:t xml:space="preserve"> </w:t>
      </w:r>
      <w:r w:rsidR="002362FC" w:rsidRPr="002362FC">
        <w:rPr>
          <w:rFonts w:ascii="Century Gothic" w:eastAsia="Century Gothic" w:hAnsi="Century Gothic" w:cs="Century Gothic"/>
          <w:sz w:val="18"/>
          <w:szCs w:val="18"/>
        </w:rPr>
        <w:t>impuestos</w:t>
      </w:r>
      <w:r w:rsidR="002362FC">
        <w:rPr>
          <w:rFonts w:ascii="Century Gothic" w:eastAsia="Century Gothic" w:hAnsi="Century Gothic" w:cs="Century Gothic"/>
          <w:sz w:val="18"/>
          <w:szCs w:val="18"/>
        </w:rPr>
        <w:t xml:space="preserve">, </w:t>
      </w:r>
      <w:r w:rsidR="002362FC" w:rsidRPr="002362FC">
        <w:rPr>
          <w:rFonts w:ascii="Century Gothic" w:eastAsia="Century Gothic" w:hAnsi="Century Gothic" w:cs="Century Gothic"/>
          <w:sz w:val="18"/>
          <w:szCs w:val="18"/>
        </w:rPr>
        <w:t>equidad y justa distribución de la carga fiscal</w:t>
      </w:r>
      <w:r w:rsidR="002362FC">
        <w:rPr>
          <w:rFonts w:ascii="Century Gothic" w:eastAsia="Century Gothic" w:hAnsi="Century Gothic" w:cs="Century Gothic"/>
          <w:sz w:val="18"/>
          <w:szCs w:val="18"/>
        </w:rPr>
        <w:t>, y f</w:t>
      </w:r>
      <w:r w:rsidR="002362FC" w:rsidRPr="002362FC">
        <w:rPr>
          <w:rFonts w:ascii="Century Gothic" w:eastAsia="Century Gothic" w:hAnsi="Century Gothic" w:cs="Century Gothic"/>
          <w:sz w:val="18"/>
          <w:szCs w:val="18"/>
        </w:rPr>
        <w:t>ortalecimiento de la confianza en el sistema tributario</w:t>
      </w:r>
      <w:r w:rsidR="002362FC">
        <w:rPr>
          <w:rFonts w:ascii="Century Gothic" w:eastAsia="Century Gothic" w:hAnsi="Century Gothic" w:cs="Century Gothic"/>
          <w:sz w:val="18"/>
          <w:szCs w:val="18"/>
        </w:rPr>
        <w:t>.</w:t>
      </w:r>
    </w:p>
    <w:p w14:paraId="566A8126" w14:textId="62F2C4F1" w:rsidR="00FB05F3" w:rsidRDefault="00CC75F7" w:rsidP="00FB05F3">
      <w:pPr>
        <w:jc w:val="both"/>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La</w:t>
      </w:r>
      <w:r w:rsidRPr="00CC75F7">
        <w:rPr>
          <w:rFonts w:ascii="Century Gothic" w:eastAsia="Century Gothic" w:hAnsi="Century Gothic" w:cs="Century Gothic"/>
          <w:sz w:val="18"/>
          <w:szCs w:val="18"/>
        </w:rPr>
        <w:t xml:space="preserve"> investigación es decisiva para evaluar el D</w:t>
      </w:r>
      <w:r>
        <w:rPr>
          <w:rFonts w:ascii="Century Gothic" w:eastAsia="Century Gothic" w:hAnsi="Century Gothic" w:cs="Century Gothic"/>
          <w:sz w:val="18"/>
          <w:szCs w:val="18"/>
        </w:rPr>
        <w:t>.L.</w:t>
      </w:r>
      <w:r w:rsidRPr="00CC75F7">
        <w:rPr>
          <w:rFonts w:ascii="Century Gothic" w:eastAsia="Century Gothic" w:hAnsi="Century Gothic" w:cs="Century Gothic"/>
          <w:sz w:val="18"/>
          <w:szCs w:val="18"/>
        </w:rPr>
        <w:t xml:space="preserve"> N.º 1264 en el trato igualitario de los contribuyentes, al analizar cómo las tasas impositivas diferenciadas para quienes se acogen al régimen de repatriación de rentas no declaradas </w:t>
      </w:r>
      <w:r>
        <w:rPr>
          <w:rFonts w:ascii="Century Gothic" w:eastAsia="Century Gothic" w:hAnsi="Century Gothic" w:cs="Century Gothic"/>
          <w:sz w:val="18"/>
          <w:szCs w:val="18"/>
        </w:rPr>
        <w:t>influyen en</w:t>
      </w:r>
      <w:r w:rsidRPr="00CC75F7">
        <w:rPr>
          <w:rFonts w:ascii="Century Gothic" w:eastAsia="Century Gothic" w:hAnsi="Century Gothic" w:cs="Century Gothic"/>
          <w:sz w:val="18"/>
          <w:szCs w:val="18"/>
        </w:rPr>
        <w:t xml:space="preserve"> la percepción de justicia fiscal. Mediante la recolección de opiniones de funcionarios, se puede identificar si estas tasas reducidas y la flexibilidad en la aplicación de sanciones influyen en la percepción de inequidad y en el cumplimiento tributario, </w:t>
      </w:r>
      <w:r>
        <w:rPr>
          <w:rFonts w:ascii="Century Gothic" w:eastAsia="Century Gothic" w:hAnsi="Century Gothic" w:cs="Century Gothic"/>
          <w:sz w:val="18"/>
          <w:szCs w:val="18"/>
        </w:rPr>
        <w:t>proporcionando</w:t>
      </w:r>
      <w:r w:rsidRPr="00CC75F7">
        <w:rPr>
          <w:rFonts w:ascii="Century Gothic" w:eastAsia="Century Gothic" w:hAnsi="Century Gothic" w:cs="Century Gothic"/>
          <w:sz w:val="18"/>
          <w:szCs w:val="18"/>
        </w:rPr>
        <w:t xml:space="preserve"> evidencia empírica para ajustar políticas y mejorar la equidad en el sistema tributario peruano.</w:t>
      </w:r>
      <w:r>
        <w:rPr>
          <w:rFonts w:ascii="Century Gothic" w:eastAsia="Century Gothic" w:hAnsi="Century Gothic" w:cs="Century Gothic"/>
          <w:sz w:val="18"/>
          <w:szCs w:val="18"/>
        </w:rPr>
        <w:t xml:space="preserve"> </w:t>
      </w:r>
      <w:r w:rsidR="00AC4482">
        <w:rPr>
          <w:rFonts w:ascii="Century Gothic" w:eastAsia="Century Gothic" w:hAnsi="Century Gothic" w:cs="Century Gothic"/>
          <w:color w:val="000000"/>
          <w:sz w:val="18"/>
          <w:szCs w:val="18"/>
        </w:rPr>
        <w:t>En ese sentido</w:t>
      </w:r>
      <w:r w:rsidR="00DA4A80" w:rsidRPr="001E5CA4">
        <w:rPr>
          <w:rFonts w:ascii="Century Gothic" w:eastAsia="Century Gothic" w:hAnsi="Century Gothic" w:cs="Century Gothic"/>
          <w:color w:val="000000"/>
          <w:sz w:val="18"/>
          <w:szCs w:val="18"/>
        </w:rPr>
        <w:t xml:space="preserve">, el objetivo principal es determinar </w:t>
      </w:r>
      <w:r w:rsidR="0062417B" w:rsidRPr="001E5CA4">
        <w:rPr>
          <w:rFonts w:ascii="Century Gothic" w:eastAsia="Century Gothic" w:hAnsi="Century Gothic" w:cs="Century Gothic"/>
          <w:color w:val="000000"/>
          <w:sz w:val="18"/>
          <w:szCs w:val="18"/>
        </w:rPr>
        <w:t>la i</w:t>
      </w:r>
      <w:r w:rsidR="002362FC">
        <w:rPr>
          <w:rFonts w:ascii="Century Gothic" w:eastAsia="Century Gothic" w:hAnsi="Century Gothic" w:cs="Century Gothic"/>
          <w:color w:val="000000"/>
          <w:sz w:val="18"/>
          <w:szCs w:val="18"/>
        </w:rPr>
        <w:t>nfluencia</w:t>
      </w:r>
      <w:r w:rsidR="0062417B" w:rsidRPr="001E5CA4">
        <w:rPr>
          <w:rFonts w:ascii="Century Gothic" w:eastAsia="Century Gothic" w:hAnsi="Century Gothic" w:cs="Century Gothic"/>
          <w:color w:val="000000"/>
          <w:sz w:val="18"/>
          <w:szCs w:val="18"/>
        </w:rPr>
        <w:t xml:space="preserve"> de </w:t>
      </w:r>
      <w:r w:rsidR="002362FC">
        <w:rPr>
          <w:rFonts w:ascii="Century Gothic" w:eastAsia="Century Gothic" w:hAnsi="Century Gothic" w:cs="Century Gothic"/>
          <w:color w:val="000000"/>
          <w:sz w:val="18"/>
          <w:szCs w:val="18"/>
        </w:rPr>
        <w:t>la repatriación de rentas no declaradas en el trato igualitario a los contr</w:t>
      </w:r>
      <w:r w:rsidR="00AC4482">
        <w:rPr>
          <w:rFonts w:ascii="Century Gothic" w:eastAsia="Century Gothic" w:hAnsi="Century Gothic" w:cs="Century Gothic"/>
          <w:color w:val="000000"/>
          <w:sz w:val="18"/>
          <w:szCs w:val="18"/>
        </w:rPr>
        <w:t>ibuyentes de un Intendencia de Lima</w:t>
      </w:r>
      <w:r w:rsidR="0062417B" w:rsidRPr="001E5CA4">
        <w:rPr>
          <w:rFonts w:ascii="Century Gothic" w:eastAsia="Century Gothic" w:hAnsi="Century Gothic" w:cs="Century Gothic"/>
          <w:color w:val="000000"/>
          <w:sz w:val="18"/>
          <w:szCs w:val="18"/>
        </w:rPr>
        <w:t xml:space="preserve">, </w:t>
      </w:r>
      <w:r w:rsidR="00AC4482">
        <w:rPr>
          <w:rFonts w:ascii="Century Gothic" w:eastAsia="Century Gothic" w:hAnsi="Century Gothic" w:cs="Century Gothic"/>
          <w:color w:val="000000"/>
          <w:sz w:val="18"/>
          <w:szCs w:val="18"/>
        </w:rPr>
        <w:t xml:space="preserve">periodo </w:t>
      </w:r>
      <w:r w:rsidR="0062417B" w:rsidRPr="001E5CA4">
        <w:rPr>
          <w:rFonts w:ascii="Century Gothic" w:eastAsia="Century Gothic" w:hAnsi="Century Gothic" w:cs="Century Gothic"/>
          <w:color w:val="000000"/>
          <w:sz w:val="18"/>
          <w:szCs w:val="18"/>
        </w:rPr>
        <w:t>2023</w:t>
      </w:r>
      <w:r w:rsidR="00DA4A80" w:rsidRPr="001E5CA4">
        <w:rPr>
          <w:rFonts w:ascii="Century Gothic" w:eastAsia="Century Gothic" w:hAnsi="Century Gothic" w:cs="Century Gothic"/>
          <w:color w:val="000000"/>
          <w:sz w:val="18"/>
          <w:szCs w:val="18"/>
        </w:rPr>
        <w:t>.</w:t>
      </w:r>
    </w:p>
    <w:p w14:paraId="167A34D5" w14:textId="77777777" w:rsidR="00520073" w:rsidRDefault="00520073" w:rsidP="00FB05F3">
      <w:pPr>
        <w:jc w:val="both"/>
        <w:rPr>
          <w:rFonts w:ascii="Century Gothic" w:eastAsia="Century Gothic" w:hAnsi="Century Gothic" w:cs="Century Gothic"/>
          <w:color w:val="000000"/>
          <w:sz w:val="18"/>
          <w:szCs w:val="18"/>
        </w:rPr>
      </w:pPr>
    </w:p>
    <w:p w14:paraId="3E1ACF07" w14:textId="7CB4FBA7" w:rsidR="005F70BF" w:rsidRDefault="001F7849" w:rsidP="005F70BF">
      <w:pPr>
        <w:rPr>
          <w:rFonts w:ascii="Century Gothic" w:eastAsia="Century Gothic" w:hAnsi="Century Gothic" w:cs="Century Gothic"/>
          <w:b/>
          <w:color w:val="393A6B"/>
          <w:sz w:val="18"/>
          <w:szCs w:val="18"/>
        </w:rPr>
      </w:pPr>
      <w:r>
        <w:rPr>
          <w:rFonts w:ascii="Century Gothic" w:eastAsia="Century Gothic" w:hAnsi="Century Gothic" w:cs="Century Gothic"/>
          <w:b/>
          <w:color w:val="393A6B"/>
          <w:sz w:val="18"/>
          <w:szCs w:val="18"/>
        </w:rPr>
        <w:t>METODOLOGÍ</w:t>
      </w:r>
      <w:r w:rsidR="00FB05F3">
        <w:rPr>
          <w:rFonts w:ascii="Century Gothic" w:eastAsia="Century Gothic" w:hAnsi="Century Gothic" w:cs="Century Gothic"/>
          <w:b/>
          <w:color w:val="393A6B"/>
          <w:sz w:val="18"/>
          <w:szCs w:val="18"/>
        </w:rPr>
        <w:t>A</w:t>
      </w:r>
    </w:p>
    <w:p w14:paraId="46272F6D" w14:textId="77777777" w:rsidR="00047BD9" w:rsidRDefault="00047BD9" w:rsidP="005F70BF">
      <w:pPr>
        <w:rPr>
          <w:rFonts w:ascii="Century Gothic" w:eastAsia="Century Gothic" w:hAnsi="Century Gothic" w:cs="Century Gothic"/>
          <w:b/>
          <w:color w:val="393A6B"/>
          <w:sz w:val="18"/>
          <w:szCs w:val="18"/>
        </w:rPr>
      </w:pPr>
    </w:p>
    <w:p w14:paraId="6C2F0702" w14:textId="135D1158" w:rsidR="00C5452E" w:rsidRPr="00272CC8" w:rsidRDefault="00C5452E" w:rsidP="00C5452E">
      <w:pPr>
        <w:jc w:val="both"/>
        <w:rPr>
          <w:rFonts w:ascii="Century Gothic" w:eastAsia="Century Gothic" w:hAnsi="Century Gothic" w:cs="Century Gothic"/>
          <w:sz w:val="18"/>
          <w:szCs w:val="18"/>
        </w:rPr>
      </w:pPr>
      <w:r w:rsidRPr="00C5452E">
        <w:rPr>
          <w:rFonts w:ascii="Century Gothic" w:eastAsia="Century Gothic" w:hAnsi="Century Gothic" w:cs="Century Gothic"/>
          <w:sz w:val="18"/>
          <w:szCs w:val="18"/>
        </w:rPr>
        <w:t xml:space="preserve">El </w:t>
      </w:r>
      <w:r w:rsidRPr="00272CC8">
        <w:rPr>
          <w:rFonts w:ascii="Century Gothic" w:eastAsia="Century Gothic" w:hAnsi="Century Gothic" w:cs="Century Gothic"/>
          <w:sz w:val="18"/>
          <w:szCs w:val="18"/>
        </w:rPr>
        <w:t>estudio adoptó un enfoque cuantitativo y de tipo aplicado, siguiendo un diseño no ex</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 xml:space="preserve">perimental de corte transversal (Quilia et al., 2024). La investigación se llevó a cabo en </w:t>
      </w:r>
      <w:r w:rsidRPr="00272CC8">
        <w:rPr>
          <w:rFonts w:ascii="Century Gothic" w:eastAsia="Century Gothic" w:hAnsi="Century Gothic" w:cs="Century Gothic"/>
          <w:sz w:val="18"/>
          <w:szCs w:val="18"/>
        </w:rPr>
        <w:lastRenderedPageBreak/>
        <w:t>una sede de la Intendencia de Lima, perte</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neciente a la Superintendencia Nacional de Administración Tributaria (SUNAT), que se encarga de supervisar y promover el cum</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plimiento de las obligaciones fiscales. La po</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blación estuvo conformada por 81 colabo</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radores que brindan asesoría tributaria en esta entidad, seleccionándose una muestra representativa de 67 individuos mediante un muestreo probabilístico aleatorio simple.</w:t>
      </w:r>
    </w:p>
    <w:p w14:paraId="086FA7DF" w14:textId="644B9397" w:rsidR="00C5452E" w:rsidRPr="00C5452E" w:rsidRDefault="00C5452E" w:rsidP="00C5452E">
      <w:pPr>
        <w:jc w:val="both"/>
        <w:rPr>
          <w:rFonts w:ascii="Century Gothic" w:eastAsia="Century Gothic" w:hAnsi="Century Gothic" w:cs="Century Gothic"/>
          <w:sz w:val="18"/>
          <w:szCs w:val="18"/>
        </w:rPr>
      </w:pPr>
      <w:r w:rsidRPr="00272CC8">
        <w:rPr>
          <w:rFonts w:ascii="Century Gothic" w:eastAsia="Century Gothic" w:hAnsi="Century Gothic" w:cs="Century Gothic"/>
          <w:sz w:val="18"/>
          <w:szCs w:val="18"/>
        </w:rPr>
        <w:t>Para la recolección de datos, se utilizó un cuestionario diseñado por la autora de la in</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vestigación. Este instrumento fue sometido a un riguroso proceso de validación mediante juicio de expertos, y su confiabilidad se veri</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ficó con el coeficiente alfa de Cronbach, obteniendo un valor de 0.89, lo que indica una alta consistencia interna. En el análisis de los datos, se empleó el software estadís</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tico SPSSv26. Se aplicaron análisis descrip</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tivo, como frecuencias y porcentajes, para caracterizar las variables, y métodos infe</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renciales, específicamente la prueba de hi</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pótesis y regresión logística ordinal. Adicio</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nalmente, se utilizó el coeficiente de deter</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minación de Nagelkerke para evaluar el ni</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vel de influencia de la variable indepen</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diente sobre la dependiente, proporcio</w:t>
      </w:r>
      <w:r w:rsidR="000E6966">
        <w:rPr>
          <w:rFonts w:ascii="Century Gothic" w:eastAsia="Century Gothic" w:hAnsi="Century Gothic" w:cs="Century Gothic"/>
          <w:sz w:val="18"/>
          <w:szCs w:val="18"/>
        </w:rPr>
        <w:softHyphen/>
      </w:r>
      <w:r w:rsidRPr="00272CC8">
        <w:rPr>
          <w:rFonts w:ascii="Century Gothic" w:eastAsia="Century Gothic" w:hAnsi="Century Gothic" w:cs="Century Gothic"/>
          <w:sz w:val="18"/>
          <w:szCs w:val="18"/>
        </w:rPr>
        <w:t>nando mayor robustez a los hallazgos del est</w:t>
      </w:r>
      <w:r w:rsidRPr="00C5452E">
        <w:rPr>
          <w:rFonts w:ascii="Century Gothic" w:eastAsia="Century Gothic" w:hAnsi="Century Gothic" w:cs="Century Gothic"/>
          <w:sz w:val="18"/>
          <w:szCs w:val="18"/>
        </w:rPr>
        <w:t>udio.</w:t>
      </w:r>
    </w:p>
    <w:p w14:paraId="3E87CA9D" w14:textId="77777777" w:rsidR="00C5452E" w:rsidRPr="00C5452E" w:rsidRDefault="00C5452E" w:rsidP="00C5452E">
      <w:pPr>
        <w:jc w:val="both"/>
        <w:rPr>
          <w:rFonts w:ascii="Century Gothic" w:eastAsia="Century Gothic" w:hAnsi="Century Gothic" w:cs="Century Gothic"/>
          <w:sz w:val="18"/>
          <w:szCs w:val="18"/>
        </w:rPr>
      </w:pPr>
    </w:p>
    <w:p w14:paraId="333ECEC7" w14:textId="685348E1" w:rsidR="00043095" w:rsidRDefault="001F7849">
      <w:pPr>
        <w:rPr>
          <w:rFonts w:ascii="Century Gothic" w:eastAsia="Century Gothic" w:hAnsi="Century Gothic" w:cs="Century Gothic"/>
          <w:b/>
          <w:color w:val="393A6B"/>
          <w:sz w:val="18"/>
          <w:szCs w:val="18"/>
        </w:rPr>
      </w:pPr>
      <w:r>
        <w:rPr>
          <w:rFonts w:ascii="Century Gothic" w:eastAsia="Century Gothic" w:hAnsi="Century Gothic" w:cs="Century Gothic"/>
          <w:b/>
          <w:color w:val="393A6B"/>
          <w:sz w:val="18"/>
          <w:szCs w:val="18"/>
        </w:rPr>
        <w:t>RESULTADOS Y DISCUSIÓN</w:t>
      </w:r>
    </w:p>
    <w:p w14:paraId="5E1FC93C" w14:textId="77777777" w:rsidR="00047BD9" w:rsidRPr="000E6966" w:rsidRDefault="00047BD9">
      <w:pPr>
        <w:rPr>
          <w:rFonts w:ascii="Century Gothic" w:eastAsia="Century Gothic" w:hAnsi="Century Gothic" w:cs="Century Gothic"/>
          <w:b/>
          <w:color w:val="393A6B"/>
          <w:sz w:val="6"/>
          <w:szCs w:val="6"/>
        </w:rPr>
      </w:pPr>
    </w:p>
    <w:p w14:paraId="3AA9C7A7" w14:textId="71C7B3A8" w:rsidR="009B5EEC" w:rsidRPr="00272CC8" w:rsidRDefault="009B5EEC" w:rsidP="009E686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S</w:t>
      </w:r>
      <w:r w:rsidRPr="009B5EEC">
        <w:rPr>
          <w:rFonts w:ascii="Century Gothic" w:eastAsia="Century Gothic" w:hAnsi="Century Gothic" w:cs="Century Gothic"/>
          <w:sz w:val="18"/>
          <w:szCs w:val="18"/>
        </w:rPr>
        <w:t xml:space="preserve">e </w:t>
      </w:r>
      <w:r>
        <w:rPr>
          <w:rFonts w:ascii="Century Gothic" w:eastAsia="Century Gothic" w:hAnsi="Century Gothic" w:cs="Century Gothic"/>
          <w:sz w:val="18"/>
          <w:szCs w:val="18"/>
        </w:rPr>
        <w:t>exhiben</w:t>
      </w:r>
      <w:r w:rsidRPr="009B5EEC">
        <w:rPr>
          <w:rFonts w:ascii="Century Gothic" w:eastAsia="Century Gothic" w:hAnsi="Century Gothic" w:cs="Century Gothic"/>
          <w:sz w:val="18"/>
          <w:szCs w:val="18"/>
        </w:rPr>
        <w:t xml:space="preserve"> los resultados tanto descriptivos como inferenciales obtenidos a partir de un exhaustivo análisis de los datos recopilados. Este estudio detallado </w:t>
      </w:r>
      <w:r w:rsidRPr="00272CC8">
        <w:rPr>
          <w:rFonts w:ascii="Century Gothic" w:eastAsia="Century Gothic" w:hAnsi="Century Gothic" w:cs="Century Gothic"/>
          <w:sz w:val="18"/>
          <w:szCs w:val="18"/>
        </w:rPr>
        <w:t>ha revelado patrones significativos en los datos descriptivos y ha identificado asociaciones importantes entre variables a través de un análisis inferencial. Estos no solo profundizan la comprensión del tema, sino que también abren nuevos ejes temáticos para futuras investigaciones.</w:t>
      </w:r>
    </w:p>
    <w:p w14:paraId="18FF488B" w14:textId="148EBDFD" w:rsidR="004F2FE5" w:rsidRPr="000E6966" w:rsidRDefault="004F2FE5" w:rsidP="009E6864">
      <w:pPr>
        <w:jc w:val="both"/>
        <w:rPr>
          <w:rFonts w:ascii="Century Gothic" w:eastAsia="Century Gothic" w:hAnsi="Century Gothic" w:cs="Century Gothic"/>
          <w:sz w:val="8"/>
          <w:szCs w:val="8"/>
        </w:rPr>
      </w:pPr>
    </w:p>
    <w:p w14:paraId="36553A16" w14:textId="77777777" w:rsidR="009B5EEC" w:rsidRPr="00272CC8" w:rsidRDefault="009B5EEC" w:rsidP="009B5EEC">
      <w:pPr>
        <w:jc w:val="both"/>
        <w:rPr>
          <w:rFonts w:ascii="Century Gothic" w:eastAsia="Century Gothic" w:hAnsi="Century Gothic" w:cs="Century Gothic"/>
          <w:b/>
          <w:sz w:val="14"/>
          <w:szCs w:val="14"/>
        </w:rPr>
      </w:pPr>
      <w:r w:rsidRPr="00272CC8">
        <w:rPr>
          <w:rFonts w:ascii="Century Gothic" w:eastAsia="Century Gothic" w:hAnsi="Century Gothic" w:cs="Century Gothic"/>
          <w:b/>
          <w:sz w:val="14"/>
          <w:szCs w:val="14"/>
        </w:rPr>
        <w:t>Tabla 1</w:t>
      </w:r>
    </w:p>
    <w:p w14:paraId="556AC961" w14:textId="6E80F881" w:rsidR="004F2FE5" w:rsidRPr="00272CC8" w:rsidRDefault="004F2FE5" w:rsidP="004F2FE5">
      <w:pPr>
        <w:jc w:val="both"/>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Nivel de la repatriación de rentas no declaradas</w:t>
      </w:r>
    </w:p>
    <w:p w14:paraId="78CE967E" w14:textId="77777777" w:rsidR="00272CC8" w:rsidRPr="0039303F" w:rsidRDefault="00272CC8" w:rsidP="004F2FE5">
      <w:pPr>
        <w:jc w:val="both"/>
        <w:rPr>
          <w:rFonts w:ascii="Century Gothic" w:eastAsia="Century Gothic" w:hAnsi="Century Gothic" w:cs="Century Gothic"/>
          <w:sz w:val="6"/>
          <w:szCs w:val="6"/>
        </w:rPr>
      </w:pPr>
    </w:p>
    <w:tbl>
      <w:tblPr>
        <w:tblW w:w="3843" w:type="dxa"/>
        <w:tblBorders>
          <w:top w:val="single" w:sz="4" w:space="0" w:color="auto"/>
          <w:bottom w:val="single" w:sz="4" w:space="0" w:color="auto"/>
        </w:tblBorders>
        <w:shd w:val="clear" w:color="auto" w:fill="CBD3DF"/>
        <w:tblLayout w:type="fixed"/>
        <w:tblCellMar>
          <w:left w:w="0" w:type="dxa"/>
          <w:right w:w="0" w:type="dxa"/>
        </w:tblCellMar>
        <w:tblLook w:val="0000" w:firstRow="0" w:lastRow="0" w:firstColumn="0" w:lastColumn="0" w:noHBand="0" w:noVBand="0"/>
      </w:tblPr>
      <w:tblGrid>
        <w:gridCol w:w="1413"/>
        <w:gridCol w:w="1134"/>
        <w:gridCol w:w="1296"/>
      </w:tblGrid>
      <w:tr w:rsidR="004F2FE5" w:rsidRPr="00272CC8" w14:paraId="350898FD" w14:textId="77777777" w:rsidTr="001818DA">
        <w:trPr>
          <w:cantSplit/>
          <w:trHeight w:val="81"/>
        </w:trPr>
        <w:tc>
          <w:tcPr>
            <w:tcW w:w="1413" w:type="dxa"/>
            <w:tcBorders>
              <w:top w:val="single" w:sz="4" w:space="0" w:color="auto"/>
              <w:bottom w:val="single" w:sz="4" w:space="0" w:color="auto"/>
            </w:tcBorders>
            <w:shd w:val="clear" w:color="auto" w:fill="CBD3DF"/>
            <w:vAlign w:val="bottom"/>
          </w:tcPr>
          <w:p w14:paraId="602DAE7B" w14:textId="303DF3AD" w:rsidR="004F2FE5" w:rsidRPr="00272CC8" w:rsidRDefault="0039303F" w:rsidP="004F2FE5">
            <w:pPr>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4F2FE5" w:rsidRPr="00272CC8">
              <w:rPr>
                <w:rFonts w:ascii="Century Gothic" w:eastAsia="Century Gothic" w:hAnsi="Century Gothic" w:cs="Century Gothic"/>
                <w:sz w:val="14"/>
                <w:szCs w:val="14"/>
              </w:rPr>
              <w:t>Nivel</w:t>
            </w:r>
          </w:p>
        </w:tc>
        <w:tc>
          <w:tcPr>
            <w:tcW w:w="1134" w:type="dxa"/>
            <w:tcBorders>
              <w:top w:val="single" w:sz="4" w:space="0" w:color="auto"/>
              <w:bottom w:val="single" w:sz="4" w:space="0" w:color="auto"/>
            </w:tcBorders>
            <w:shd w:val="clear" w:color="auto" w:fill="CBD3DF"/>
          </w:tcPr>
          <w:p w14:paraId="538B9693" w14:textId="77777777" w:rsidR="004F2FE5" w:rsidRPr="00272CC8" w:rsidRDefault="004F2FE5" w:rsidP="004F2FE5">
            <w:pPr>
              <w:ind w:right="60"/>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f</w:t>
            </w:r>
          </w:p>
        </w:tc>
        <w:tc>
          <w:tcPr>
            <w:tcW w:w="1296" w:type="dxa"/>
            <w:tcBorders>
              <w:top w:val="single" w:sz="4" w:space="0" w:color="auto"/>
              <w:bottom w:val="single" w:sz="4" w:space="0" w:color="auto"/>
            </w:tcBorders>
            <w:shd w:val="clear" w:color="auto" w:fill="CBD3DF"/>
            <w:vAlign w:val="bottom"/>
          </w:tcPr>
          <w:p w14:paraId="2D1C62D7" w14:textId="77777777" w:rsidR="004F2FE5" w:rsidRPr="00272CC8" w:rsidRDefault="004F2FE5" w:rsidP="004F2FE5">
            <w:pPr>
              <w:ind w:right="60"/>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w:t>
            </w:r>
          </w:p>
        </w:tc>
      </w:tr>
      <w:tr w:rsidR="004F2FE5" w:rsidRPr="00272CC8" w14:paraId="03E234EB" w14:textId="77777777" w:rsidTr="001818DA">
        <w:trPr>
          <w:cantSplit/>
          <w:trHeight w:val="70"/>
        </w:trPr>
        <w:tc>
          <w:tcPr>
            <w:tcW w:w="1413" w:type="dxa"/>
            <w:tcBorders>
              <w:top w:val="single" w:sz="4" w:space="0" w:color="auto"/>
            </w:tcBorders>
            <w:shd w:val="clear" w:color="auto" w:fill="CBD3DF"/>
          </w:tcPr>
          <w:p w14:paraId="25E1F54F" w14:textId="205BF0C3" w:rsidR="004F2FE5" w:rsidRPr="00272CC8" w:rsidRDefault="0039303F" w:rsidP="004F2FE5">
            <w:pPr>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4F2FE5" w:rsidRPr="00272CC8">
              <w:rPr>
                <w:rFonts w:ascii="Century Gothic" w:eastAsia="Century Gothic" w:hAnsi="Century Gothic" w:cs="Century Gothic"/>
                <w:sz w:val="14"/>
                <w:szCs w:val="14"/>
              </w:rPr>
              <w:t xml:space="preserve">Bajo </w:t>
            </w:r>
          </w:p>
        </w:tc>
        <w:tc>
          <w:tcPr>
            <w:tcW w:w="1134" w:type="dxa"/>
            <w:tcBorders>
              <w:top w:val="single" w:sz="4" w:space="0" w:color="auto"/>
            </w:tcBorders>
            <w:shd w:val="clear" w:color="auto" w:fill="CBD3DF"/>
          </w:tcPr>
          <w:p w14:paraId="688C918B"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5</w:t>
            </w:r>
          </w:p>
        </w:tc>
        <w:tc>
          <w:tcPr>
            <w:tcW w:w="1296" w:type="dxa"/>
            <w:tcBorders>
              <w:top w:val="single" w:sz="4" w:space="0" w:color="auto"/>
            </w:tcBorders>
            <w:shd w:val="clear" w:color="auto" w:fill="CBD3DF"/>
          </w:tcPr>
          <w:p w14:paraId="73B86406"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7,5</w:t>
            </w:r>
          </w:p>
        </w:tc>
      </w:tr>
      <w:tr w:rsidR="004F2FE5" w:rsidRPr="00272CC8" w14:paraId="217E9D40" w14:textId="77777777" w:rsidTr="001818DA">
        <w:trPr>
          <w:cantSplit/>
          <w:trHeight w:val="80"/>
        </w:trPr>
        <w:tc>
          <w:tcPr>
            <w:tcW w:w="1413" w:type="dxa"/>
            <w:shd w:val="clear" w:color="auto" w:fill="CBD3DF"/>
          </w:tcPr>
          <w:p w14:paraId="1814BCDE" w14:textId="0EA0943A" w:rsidR="004F2FE5" w:rsidRPr="00272CC8" w:rsidRDefault="0039303F" w:rsidP="004F2FE5">
            <w:pPr>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4F2FE5" w:rsidRPr="00272CC8">
              <w:rPr>
                <w:rFonts w:ascii="Century Gothic" w:eastAsia="Century Gothic" w:hAnsi="Century Gothic" w:cs="Century Gothic"/>
                <w:sz w:val="14"/>
                <w:szCs w:val="14"/>
              </w:rPr>
              <w:t xml:space="preserve">Medio </w:t>
            </w:r>
          </w:p>
        </w:tc>
        <w:tc>
          <w:tcPr>
            <w:tcW w:w="1134" w:type="dxa"/>
            <w:shd w:val="clear" w:color="auto" w:fill="CBD3DF"/>
          </w:tcPr>
          <w:p w14:paraId="6E9E4B8A"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61</w:t>
            </w:r>
          </w:p>
        </w:tc>
        <w:tc>
          <w:tcPr>
            <w:tcW w:w="1296" w:type="dxa"/>
            <w:shd w:val="clear" w:color="auto" w:fill="CBD3DF"/>
          </w:tcPr>
          <w:p w14:paraId="49C4E47E"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91,0</w:t>
            </w:r>
          </w:p>
        </w:tc>
      </w:tr>
      <w:tr w:rsidR="004F2FE5" w:rsidRPr="00272CC8" w14:paraId="14E8D609" w14:textId="77777777" w:rsidTr="001818DA">
        <w:trPr>
          <w:cantSplit/>
          <w:trHeight w:val="131"/>
        </w:trPr>
        <w:tc>
          <w:tcPr>
            <w:tcW w:w="1413" w:type="dxa"/>
            <w:shd w:val="clear" w:color="auto" w:fill="CBD3DF"/>
          </w:tcPr>
          <w:p w14:paraId="1163742C" w14:textId="1270DE8C" w:rsidR="004F2FE5" w:rsidRPr="00272CC8" w:rsidRDefault="0039303F" w:rsidP="004F2FE5">
            <w:pPr>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4F2FE5" w:rsidRPr="00272CC8">
              <w:rPr>
                <w:rFonts w:ascii="Century Gothic" w:eastAsia="Century Gothic" w:hAnsi="Century Gothic" w:cs="Century Gothic"/>
                <w:sz w:val="14"/>
                <w:szCs w:val="14"/>
              </w:rPr>
              <w:t xml:space="preserve">Alto </w:t>
            </w:r>
          </w:p>
        </w:tc>
        <w:tc>
          <w:tcPr>
            <w:tcW w:w="1134" w:type="dxa"/>
            <w:shd w:val="clear" w:color="auto" w:fill="CBD3DF"/>
          </w:tcPr>
          <w:p w14:paraId="2F6C803F"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1</w:t>
            </w:r>
          </w:p>
        </w:tc>
        <w:tc>
          <w:tcPr>
            <w:tcW w:w="1296" w:type="dxa"/>
            <w:shd w:val="clear" w:color="auto" w:fill="CBD3DF"/>
          </w:tcPr>
          <w:p w14:paraId="7080B691"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1,5</w:t>
            </w:r>
          </w:p>
        </w:tc>
      </w:tr>
      <w:tr w:rsidR="004F2FE5" w:rsidRPr="00272CC8" w14:paraId="0DBC3DA6" w14:textId="77777777" w:rsidTr="001818DA">
        <w:trPr>
          <w:cantSplit/>
          <w:trHeight w:val="63"/>
        </w:trPr>
        <w:tc>
          <w:tcPr>
            <w:tcW w:w="1413" w:type="dxa"/>
            <w:shd w:val="clear" w:color="auto" w:fill="CBD3DF"/>
          </w:tcPr>
          <w:p w14:paraId="4367C666" w14:textId="69CD54F6" w:rsidR="004F2FE5" w:rsidRPr="00272CC8" w:rsidRDefault="0039303F" w:rsidP="004F2FE5">
            <w:pPr>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4F2FE5" w:rsidRPr="00272CC8">
              <w:rPr>
                <w:rFonts w:ascii="Century Gothic" w:eastAsia="Century Gothic" w:hAnsi="Century Gothic" w:cs="Century Gothic"/>
                <w:sz w:val="14"/>
                <w:szCs w:val="14"/>
              </w:rPr>
              <w:t>Total</w:t>
            </w:r>
          </w:p>
        </w:tc>
        <w:tc>
          <w:tcPr>
            <w:tcW w:w="1134" w:type="dxa"/>
            <w:shd w:val="clear" w:color="auto" w:fill="CBD3DF"/>
          </w:tcPr>
          <w:p w14:paraId="7F331A8E"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67</w:t>
            </w:r>
          </w:p>
        </w:tc>
        <w:tc>
          <w:tcPr>
            <w:tcW w:w="1296" w:type="dxa"/>
            <w:shd w:val="clear" w:color="auto" w:fill="CBD3DF"/>
          </w:tcPr>
          <w:p w14:paraId="668EC22E" w14:textId="77777777" w:rsidR="004F2FE5" w:rsidRPr="00272CC8" w:rsidRDefault="004F2FE5" w:rsidP="004F2FE5">
            <w:pPr>
              <w:jc w:val="center"/>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100,0</w:t>
            </w:r>
          </w:p>
        </w:tc>
      </w:tr>
    </w:tbl>
    <w:p w14:paraId="486ED3EA" w14:textId="77777777" w:rsidR="000E6966" w:rsidRDefault="000E6966" w:rsidP="009B5EEC">
      <w:pPr>
        <w:jc w:val="both"/>
        <w:rPr>
          <w:rFonts w:ascii="Century Gothic" w:eastAsia="Century Gothic" w:hAnsi="Century Gothic" w:cs="Century Gothic"/>
          <w:sz w:val="18"/>
          <w:szCs w:val="18"/>
        </w:rPr>
      </w:pPr>
    </w:p>
    <w:p w14:paraId="72642CAF" w14:textId="4E7DBAA9" w:rsidR="009B5EEC" w:rsidRPr="00272CC8" w:rsidRDefault="009B5EEC" w:rsidP="009B5EEC">
      <w:pPr>
        <w:jc w:val="both"/>
        <w:rPr>
          <w:rFonts w:ascii="Century Gothic" w:eastAsia="Century Gothic" w:hAnsi="Century Gothic" w:cs="Century Gothic"/>
          <w:sz w:val="18"/>
          <w:szCs w:val="18"/>
        </w:rPr>
      </w:pPr>
      <w:r w:rsidRPr="00272CC8">
        <w:rPr>
          <w:rFonts w:ascii="Century Gothic" w:eastAsia="Century Gothic" w:hAnsi="Century Gothic" w:cs="Century Gothic"/>
          <w:sz w:val="18"/>
          <w:szCs w:val="18"/>
        </w:rPr>
        <w:t xml:space="preserve">La tabla </w:t>
      </w:r>
      <w:r w:rsidR="00A8271F" w:rsidRPr="00272CC8">
        <w:rPr>
          <w:rFonts w:ascii="Century Gothic" w:eastAsia="Century Gothic" w:hAnsi="Century Gothic" w:cs="Century Gothic"/>
          <w:sz w:val="18"/>
          <w:szCs w:val="18"/>
        </w:rPr>
        <w:t>1</w:t>
      </w:r>
      <w:r w:rsidRPr="00272CC8">
        <w:rPr>
          <w:rFonts w:ascii="Century Gothic" w:eastAsia="Century Gothic" w:hAnsi="Century Gothic" w:cs="Century Gothic"/>
          <w:sz w:val="18"/>
          <w:szCs w:val="18"/>
        </w:rPr>
        <w:t xml:space="preserve"> muestra que la mayoría de los encuestados (91.0%) consideran que la repatriación de rentas no declaradas está en un nivel medio, mientras que un pequeño porcentaje (7.5%) la percibe como </w:t>
      </w:r>
      <w:r w:rsidR="00A8271F" w:rsidRPr="00272CC8">
        <w:rPr>
          <w:rFonts w:ascii="Century Gothic" w:eastAsia="Century Gothic" w:hAnsi="Century Gothic" w:cs="Century Gothic"/>
          <w:sz w:val="18"/>
          <w:szCs w:val="18"/>
        </w:rPr>
        <w:t>bajo</w:t>
      </w:r>
      <w:r w:rsidRPr="00272CC8">
        <w:rPr>
          <w:rFonts w:ascii="Century Gothic" w:eastAsia="Century Gothic" w:hAnsi="Century Gothic" w:cs="Century Gothic"/>
          <w:sz w:val="18"/>
          <w:szCs w:val="18"/>
        </w:rPr>
        <w:t xml:space="preserve">. Esto indica que, en general, los servidores públicos de </w:t>
      </w:r>
      <w:r w:rsidR="00A8271F" w:rsidRPr="00272CC8">
        <w:rPr>
          <w:rFonts w:ascii="Century Gothic" w:eastAsia="Century Gothic" w:hAnsi="Century Gothic" w:cs="Century Gothic"/>
          <w:sz w:val="18"/>
          <w:szCs w:val="18"/>
        </w:rPr>
        <w:t>esta intendencia</w:t>
      </w:r>
      <w:r w:rsidRPr="00272CC8">
        <w:rPr>
          <w:rFonts w:ascii="Century Gothic" w:eastAsia="Century Gothic" w:hAnsi="Century Gothic" w:cs="Century Gothic"/>
          <w:sz w:val="18"/>
          <w:szCs w:val="18"/>
        </w:rPr>
        <w:t xml:space="preserve"> ven esta repatriación como moderadamente efectiva, sugiriendo la necesidad de mejorar los esfuerzos para optimizar el cumplimiento </w:t>
      </w:r>
      <w:r w:rsidR="00A8271F" w:rsidRPr="00272CC8">
        <w:rPr>
          <w:rFonts w:ascii="Century Gothic" w:eastAsia="Century Gothic" w:hAnsi="Century Gothic" w:cs="Century Gothic"/>
          <w:sz w:val="18"/>
          <w:szCs w:val="18"/>
        </w:rPr>
        <w:t>fiscal de los contribuyentes</w:t>
      </w:r>
      <w:r w:rsidRPr="00272CC8">
        <w:rPr>
          <w:rFonts w:ascii="Century Gothic" w:eastAsia="Century Gothic" w:hAnsi="Century Gothic" w:cs="Century Gothic"/>
          <w:sz w:val="18"/>
          <w:szCs w:val="18"/>
        </w:rPr>
        <w:t>.</w:t>
      </w:r>
    </w:p>
    <w:p w14:paraId="432D5974" w14:textId="3BBFB788" w:rsidR="00011610" w:rsidRPr="00272CC8" w:rsidRDefault="00AC4482" w:rsidP="00AC4482">
      <w:pPr>
        <w:jc w:val="both"/>
        <w:rPr>
          <w:rFonts w:ascii="Century Gothic" w:eastAsia="Century Gothic" w:hAnsi="Century Gothic" w:cs="Century Gothic"/>
          <w:sz w:val="18"/>
          <w:szCs w:val="18"/>
        </w:rPr>
      </w:pPr>
      <w:r w:rsidRPr="00272CC8">
        <w:rPr>
          <w:rFonts w:ascii="Century Gothic" w:eastAsia="Century Gothic" w:hAnsi="Century Gothic" w:cs="Century Gothic"/>
          <w:sz w:val="18"/>
          <w:szCs w:val="18"/>
        </w:rPr>
        <w:t xml:space="preserve">Asimismo, un estudio realizado por la Organización para la Cooperación y el Desarrollo Económicos (2022) encontró que, en varios países miembros, la efectividad de </w:t>
      </w:r>
      <w:r w:rsidRPr="00272CC8">
        <w:rPr>
          <w:rFonts w:ascii="Century Gothic" w:eastAsia="Century Gothic" w:hAnsi="Century Gothic" w:cs="Century Gothic"/>
          <w:sz w:val="18"/>
          <w:szCs w:val="18"/>
        </w:rPr>
        <w:t xml:space="preserve">los programas de repatriación de capitales fue evaluada como medianamente exitosa por una gran parte de los contribuyentes y autoridades fiscales. Estos hallazgos son consistentes con los resultados obtenidos, indicando que, si bien existe una opinión general de efectividad moderada, aún hay espacio para mejorar estos programas. Además, </w:t>
      </w:r>
      <w:r w:rsidR="00885614" w:rsidRPr="00272CC8">
        <w:rPr>
          <w:rFonts w:ascii="Century Gothic" w:eastAsia="Century Gothic" w:hAnsi="Century Gothic" w:cs="Century Gothic"/>
          <w:sz w:val="18"/>
          <w:szCs w:val="18"/>
        </w:rPr>
        <w:t>la investigación de</w:t>
      </w:r>
      <w:r w:rsidRPr="00272CC8">
        <w:rPr>
          <w:rFonts w:ascii="Century Gothic" w:eastAsia="Century Gothic" w:hAnsi="Century Gothic" w:cs="Century Gothic"/>
          <w:sz w:val="18"/>
          <w:szCs w:val="18"/>
        </w:rPr>
        <w:t xml:space="preserve"> </w:t>
      </w:r>
      <w:r w:rsidR="00885614" w:rsidRPr="00272CC8">
        <w:rPr>
          <w:rFonts w:ascii="Century Gothic" w:eastAsia="Century Gothic" w:hAnsi="Century Gothic" w:cs="Century Gothic"/>
          <w:sz w:val="18"/>
          <w:szCs w:val="18"/>
        </w:rPr>
        <w:t xml:space="preserve">Diaz </w:t>
      </w:r>
      <w:r w:rsidR="000E6966">
        <w:rPr>
          <w:rFonts w:ascii="Century Gothic" w:eastAsia="Century Gothic" w:hAnsi="Century Gothic" w:cs="Century Gothic"/>
          <w:sz w:val="18"/>
          <w:szCs w:val="18"/>
        </w:rPr>
        <w:t>y</w:t>
      </w:r>
      <w:r w:rsidR="00885614" w:rsidRPr="00272CC8">
        <w:rPr>
          <w:rFonts w:ascii="Century Gothic" w:eastAsia="Century Gothic" w:hAnsi="Century Gothic" w:cs="Century Gothic"/>
          <w:sz w:val="18"/>
          <w:szCs w:val="18"/>
        </w:rPr>
        <w:t xml:space="preserve"> Niquen (2019) </w:t>
      </w:r>
      <w:r w:rsidRPr="00272CC8">
        <w:rPr>
          <w:rFonts w:ascii="Century Gothic" w:eastAsia="Century Gothic" w:hAnsi="Century Gothic" w:cs="Century Gothic"/>
          <w:sz w:val="18"/>
          <w:szCs w:val="18"/>
        </w:rPr>
        <w:t>también mostraron que el 88% de los encuestados en su estudio percibían la repatriación de rentas no declaradas como moderadamente efectiva, subrayando la necesidad de aumentar la transparencia y la implementación de medidas adicionales para fortalecer el cumplimiento fiscal.</w:t>
      </w:r>
    </w:p>
    <w:p w14:paraId="2370983A" w14:textId="5EEBBED2" w:rsidR="009B6738" w:rsidRPr="00272CC8" w:rsidRDefault="009B6738" w:rsidP="009B6738">
      <w:pPr>
        <w:jc w:val="both"/>
        <w:rPr>
          <w:rFonts w:ascii="Century Gothic" w:eastAsia="Century Gothic" w:hAnsi="Century Gothic" w:cs="Century Gothic"/>
          <w:sz w:val="18"/>
          <w:szCs w:val="18"/>
        </w:rPr>
      </w:pPr>
      <w:r w:rsidRPr="00272CC8">
        <w:rPr>
          <w:rFonts w:ascii="Century Gothic" w:eastAsia="Century Gothic" w:hAnsi="Century Gothic" w:cs="Century Gothic"/>
          <w:sz w:val="18"/>
          <w:szCs w:val="18"/>
        </w:rPr>
        <w:t xml:space="preserve">Asimismo, estos hallazgos, es importante destacar que, en el estudio de </w:t>
      </w:r>
      <w:r w:rsidR="007A44AA" w:rsidRPr="00272CC8">
        <w:rPr>
          <w:rFonts w:ascii="Century Gothic" w:eastAsia="Century Gothic" w:hAnsi="Century Gothic" w:cs="Century Gothic"/>
          <w:sz w:val="18"/>
          <w:szCs w:val="18"/>
        </w:rPr>
        <w:t xml:space="preserve">Cavero </w:t>
      </w:r>
      <w:r w:rsidR="000E6966">
        <w:rPr>
          <w:rFonts w:ascii="Century Gothic" w:eastAsia="Century Gothic" w:hAnsi="Century Gothic" w:cs="Century Gothic"/>
          <w:sz w:val="18"/>
          <w:szCs w:val="18"/>
        </w:rPr>
        <w:t>y</w:t>
      </w:r>
      <w:r w:rsidR="007A44AA" w:rsidRPr="00272CC8">
        <w:rPr>
          <w:rFonts w:ascii="Century Gothic" w:eastAsia="Century Gothic" w:hAnsi="Century Gothic" w:cs="Century Gothic"/>
          <w:sz w:val="18"/>
          <w:szCs w:val="18"/>
        </w:rPr>
        <w:t xml:space="preserve"> Huaichao (2022)</w:t>
      </w:r>
      <w:r w:rsidRPr="00272CC8">
        <w:rPr>
          <w:rFonts w:ascii="Century Gothic" w:eastAsia="Century Gothic" w:hAnsi="Century Gothic" w:cs="Century Gothic"/>
          <w:sz w:val="18"/>
          <w:szCs w:val="18"/>
        </w:rPr>
        <w:t>, la repatriación de rentas suele enfrentar limitaciones debido a la falta de incentivos claros y la desconfianza de los contribuyentes hacia las autoridades fiscales, lo que reduce su efectividad. Este estudio subraya la importancia de diseñar estrategias más transparentes y accesibles para fomentar la participación activa de los contribuyentes en estos esquemas.</w:t>
      </w:r>
    </w:p>
    <w:p w14:paraId="318CAF21" w14:textId="77777777" w:rsidR="009B6738" w:rsidRPr="0039303F" w:rsidRDefault="009B6738" w:rsidP="009B6738">
      <w:pPr>
        <w:jc w:val="both"/>
        <w:rPr>
          <w:rFonts w:ascii="Century Gothic" w:eastAsia="Century Gothic" w:hAnsi="Century Gothic" w:cs="Century Gothic"/>
          <w:sz w:val="10"/>
          <w:szCs w:val="10"/>
        </w:rPr>
      </w:pPr>
    </w:p>
    <w:p w14:paraId="7EA236DB" w14:textId="0813334F" w:rsidR="009B5EEC" w:rsidRPr="00272CC8" w:rsidRDefault="009B5EEC" w:rsidP="009B5EEC">
      <w:pPr>
        <w:jc w:val="both"/>
        <w:rPr>
          <w:rFonts w:ascii="Century Gothic" w:eastAsia="Century Gothic" w:hAnsi="Century Gothic" w:cs="Century Gothic"/>
          <w:b/>
          <w:sz w:val="14"/>
          <w:szCs w:val="14"/>
        </w:rPr>
      </w:pPr>
      <w:r w:rsidRPr="00272CC8">
        <w:rPr>
          <w:rFonts w:ascii="Century Gothic" w:eastAsia="Century Gothic" w:hAnsi="Century Gothic" w:cs="Century Gothic"/>
          <w:b/>
          <w:sz w:val="14"/>
          <w:szCs w:val="14"/>
        </w:rPr>
        <w:t>Tabla 2</w:t>
      </w:r>
    </w:p>
    <w:p w14:paraId="078FF262" w14:textId="0BE81016" w:rsidR="004F2FE5" w:rsidRPr="00272CC8" w:rsidRDefault="009B5EEC" w:rsidP="009E6864">
      <w:pPr>
        <w:jc w:val="both"/>
        <w:rPr>
          <w:rFonts w:ascii="Century Gothic" w:eastAsia="Century Gothic" w:hAnsi="Century Gothic" w:cs="Century Gothic"/>
          <w:sz w:val="14"/>
          <w:szCs w:val="14"/>
        </w:rPr>
      </w:pPr>
      <w:r w:rsidRPr="00272CC8">
        <w:rPr>
          <w:rFonts w:ascii="Century Gothic" w:eastAsia="Century Gothic" w:hAnsi="Century Gothic" w:cs="Century Gothic"/>
          <w:sz w:val="14"/>
          <w:szCs w:val="14"/>
        </w:rPr>
        <w:t>Nivel de las dimensiones</w:t>
      </w:r>
    </w:p>
    <w:p w14:paraId="6CECB5D6" w14:textId="77777777" w:rsidR="00272CC8" w:rsidRPr="00272CC8" w:rsidRDefault="00272CC8" w:rsidP="009E6864">
      <w:pPr>
        <w:jc w:val="both"/>
        <w:rPr>
          <w:rFonts w:ascii="Century Gothic" w:eastAsia="Century Gothic" w:hAnsi="Century Gothic" w:cs="Century Gothic"/>
          <w:sz w:val="8"/>
          <w:szCs w:val="8"/>
        </w:rPr>
      </w:pPr>
    </w:p>
    <w:tbl>
      <w:tblPr>
        <w:tblW w:w="5000" w:type="pct"/>
        <w:tblBorders>
          <w:top w:val="single" w:sz="4" w:space="0" w:color="auto"/>
          <w:bottom w:val="single" w:sz="4" w:space="0" w:color="auto"/>
        </w:tblBorders>
        <w:shd w:val="clear" w:color="auto" w:fill="CBD3DF"/>
        <w:tblCellMar>
          <w:left w:w="70" w:type="dxa"/>
          <w:right w:w="70" w:type="dxa"/>
        </w:tblCellMar>
        <w:tblLook w:val="04A0" w:firstRow="1" w:lastRow="0" w:firstColumn="1" w:lastColumn="0" w:noHBand="0" w:noVBand="1"/>
      </w:tblPr>
      <w:tblGrid>
        <w:gridCol w:w="576"/>
        <w:gridCol w:w="472"/>
        <w:gridCol w:w="605"/>
        <w:gridCol w:w="541"/>
        <w:gridCol w:w="543"/>
        <w:gridCol w:w="542"/>
        <w:gridCol w:w="542"/>
      </w:tblGrid>
      <w:tr w:rsidR="004F2FE5" w:rsidRPr="00272CC8" w14:paraId="6954F46B" w14:textId="77777777" w:rsidTr="001818DA">
        <w:trPr>
          <w:trHeight w:val="113"/>
        </w:trPr>
        <w:tc>
          <w:tcPr>
            <w:tcW w:w="729" w:type="pct"/>
            <w:vMerge w:val="restart"/>
            <w:tcBorders>
              <w:top w:val="single" w:sz="4" w:space="0" w:color="auto"/>
              <w:bottom w:val="nil"/>
            </w:tcBorders>
            <w:shd w:val="clear" w:color="auto" w:fill="CBD3DF"/>
            <w:vAlign w:val="center"/>
            <w:hideMark/>
          </w:tcPr>
          <w:p w14:paraId="194A1B57" w14:textId="77777777" w:rsidR="004F2FE5" w:rsidRPr="00272CC8" w:rsidRDefault="004F2FE5" w:rsidP="004F2FE5">
            <w:pPr>
              <w:rPr>
                <w:rFonts w:ascii="Century Gothic" w:hAnsi="Century Gothic"/>
                <w:color w:val="000000"/>
                <w:sz w:val="14"/>
                <w:szCs w:val="14"/>
                <w:lang w:eastAsia="es-PE"/>
              </w:rPr>
            </w:pPr>
            <w:r w:rsidRPr="00272CC8">
              <w:rPr>
                <w:rFonts w:ascii="Century Gothic" w:hAnsi="Century Gothic"/>
                <w:color w:val="000000"/>
                <w:sz w:val="14"/>
                <w:szCs w:val="14"/>
                <w:lang w:eastAsia="es-PE"/>
              </w:rPr>
              <w:t xml:space="preserve">Nivel </w:t>
            </w:r>
          </w:p>
        </w:tc>
        <w:tc>
          <w:tcPr>
            <w:tcW w:w="1314" w:type="pct"/>
            <w:gridSpan w:val="2"/>
            <w:tcBorders>
              <w:top w:val="single" w:sz="4" w:space="0" w:color="auto"/>
              <w:bottom w:val="single" w:sz="4" w:space="0" w:color="auto"/>
            </w:tcBorders>
            <w:shd w:val="clear" w:color="auto" w:fill="CBD3DF"/>
            <w:vAlign w:val="center"/>
            <w:hideMark/>
          </w:tcPr>
          <w:p w14:paraId="4B078DA8" w14:textId="08F82FAD" w:rsidR="004F2FE5" w:rsidRPr="00272CC8" w:rsidRDefault="004F2FE5" w:rsidP="004F2FE5">
            <w:pPr>
              <w:ind w:left="-63"/>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Regularización de ingresos no declarados</w:t>
            </w:r>
          </w:p>
        </w:tc>
        <w:tc>
          <w:tcPr>
            <w:tcW w:w="1479" w:type="pct"/>
            <w:gridSpan w:val="2"/>
            <w:tcBorders>
              <w:top w:val="single" w:sz="4" w:space="0" w:color="auto"/>
              <w:bottom w:val="single" w:sz="4" w:space="0" w:color="auto"/>
            </w:tcBorders>
            <w:shd w:val="clear" w:color="auto" w:fill="CBD3DF"/>
          </w:tcPr>
          <w:p w14:paraId="7BD23095"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Incentivo a la declaración y repatriación</w:t>
            </w:r>
          </w:p>
        </w:tc>
        <w:tc>
          <w:tcPr>
            <w:tcW w:w="1479" w:type="pct"/>
            <w:gridSpan w:val="2"/>
            <w:tcBorders>
              <w:top w:val="single" w:sz="4" w:space="0" w:color="auto"/>
              <w:bottom w:val="single" w:sz="4" w:space="0" w:color="auto"/>
            </w:tcBorders>
            <w:shd w:val="clear" w:color="auto" w:fill="CBD3DF"/>
          </w:tcPr>
          <w:p w14:paraId="499EBA11"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Obligaciones fiscales y políticas tributarias</w:t>
            </w:r>
          </w:p>
        </w:tc>
      </w:tr>
      <w:tr w:rsidR="004F2FE5" w:rsidRPr="00272CC8" w14:paraId="3863B598" w14:textId="77777777" w:rsidTr="001818DA">
        <w:trPr>
          <w:trHeight w:val="121"/>
        </w:trPr>
        <w:tc>
          <w:tcPr>
            <w:tcW w:w="729" w:type="pct"/>
            <w:vMerge/>
            <w:tcBorders>
              <w:top w:val="nil"/>
              <w:bottom w:val="single" w:sz="4" w:space="0" w:color="auto"/>
            </w:tcBorders>
            <w:shd w:val="clear" w:color="auto" w:fill="CBD3DF"/>
            <w:vAlign w:val="center"/>
          </w:tcPr>
          <w:p w14:paraId="7B318954" w14:textId="77777777" w:rsidR="004F2FE5" w:rsidRPr="00272CC8" w:rsidRDefault="004F2FE5" w:rsidP="004F2FE5">
            <w:pPr>
              <w:jc w:val="center"/>
              <w:rPr>
                <w:rFonts w:ascii="Century Gothic" w:hAnsi="Century Gothic"/>
                <w:color w:val="000000"/>
                <w:sz w:val="14"/>
                <w:szCs w:val="14"/>
                <w:lang w:eastAsia="es-PE"/>
              </w:rPr>
            </w:pPr>
          </w:p>
        </w:tc>
        <w:tc>
          <w:tcPr>
            <w:tcW w:w="575" w:type="pct"/>
            <w:tcBorders>
              <w:top w:val="single" w:sz="4" w:space="0" w:color="auto"/>
              <w:bottom w:val="single" w:sz="4" w:space="0" w:color="auto"/>
            </w:tcBorders>
            <w:shd w:val="clear" w:color="auto" w:fill="CBD3DF"/>
            <w:vAlign w:val="center"/>
          </w:tcPr>
          <w:p w14:paraId="366E6143"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(f)</w:t>
            </w:r>
          </w:p>
        </w:tc>
        <w:tc>
          <w:tcPr>
            <w:tcW w:w="739" w:type="pct"/>
            <w:tcBorders>
              <w:top w:val="single" w:sz="4" w:space="0" w:color="auto"/>
              <w:bottom w:val="single" w:sz="4" w:space="0" w:color="auto"/>
            </w:tcBorders>
            <w:shd w:val="clear" w:color="auto" w:fill="CBD3DF"/>
          </w:tcPr>
          <w:p w14:paraId="43962A05"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w:t>
            </w:r>
          </w:p>
        </w:tc>
        <w:tc>
          <w:tcPr>
            <w:tcW w:w="739" w:type="pct"/>
            <w:tcBorders>
              <w:top w:val="single" w:sz="4" w:space="0" w:color="auto"/>
              <w:bottom w:val="single" w:sz="4" w:space="0" w:color="auto"/>
            </w:tcBorders>
            <w:shd w:val="clear" w:color="auto" w:fill="CBD3DF"/>
            <w:vAlign w:val="center"/>
          </w:tcPr>
          <w:p w14:paraId="72D6E41F"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(f)</w:t>
            </w:r>
          </w:p>
        </w:tc>
        <w:tc>
          <w:tcPr>
            <w:tcW w:w="739" w:type="pct"/>
            <w:tcBorders>
              <w:top w:val="single" w:sz="4" w:space="0" w:color="auto"/>
              <w:bottom w:val="single" w:sz="4" w:space="0" w:color="auto"/>
            </w:tcBorders>
            <w:shd w:val="clear" w:color="auto" w:fill="CBD3DF"/>
          </w:tcPr>
          <w:p w14:paraId="38FA5F17"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w:t>
            </w:r>
          </w:p>
        </w:tc>
        <w:tc>
          <w:tcPr>
            <w:tcW w:w="739" w:type="pct"/>
            <w:tcBorders>
              <w:top w:val="single" w:sz="4" w:space="0" w:color="auto"/>
              <w:bottom w:val="single" w:sz="4" w:space="0" w:color="auto"/>
            </w:tcBorders>
            <w:shd w:val="clear" w:color="auto" w:fill="CBD3DF"/>
            <w:vAlign w:val="center"/>
          </w:tcPr>
          <w:p w14:paraId="781EC97F"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(f)</w:t>
            </w:r>
          </w:p>
        </w:tc>
        <w:tc>
          <w:tcPr>
            <w:tcW w:w="739" w:type="pct"/>
            <w:tcBorders>
              <w:top w:val="single" w:sz="4" w:space="0" w:color="auto"/>
              <w:bottom w:val="single" w:sz="4" w:space="0" w:color="auto"/>
            </w:tcBorders>
            <w:shd w:val="clear" w:color="auto" w:fill="CBD3DF"/>
          </w:tcPr>
          <w:p w14:paraId="50250CAA"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w:t>
            </w:r>
          </w:p>
        </w:tc>
      </w:tr>
      <w:tr w:rsidR="004F2FE5" w:rsidRPr="00272CC8" w14:paraId="0DAAEF42" w14:textId="77777777" w:rsidTr="001818DA">
        <w:trPr>
          <w:trHeight w:val="99"/>
        </w:trPr>
        <w:tc>
          <w:tcPr>
            <w:tcW w:w="729" w:type="pct"/>
            <w:tcBorders>
              <w:top w:val="single" w:sz="4" w:space="0" w:color="auto"/>
            </w:tcBorders>
            <w:shd w:val="clear" w:color="auto" w:fill="CBD3DF"/>
            <w:vAlign w:val="center"/>
            <w:hideMark/>
          </w:tcPr>
          <w:p w14:paraId="643A47E8" w14:textId="77777777" w:rsidR="004F2FE5" w:rsidRPr="00272CC8" w:rsidRDefault="004F2FE5" w:rsidP="004F2FE5">
            <w:pPr>
              <w:rPr>
                <w:rFonts w:ascii="Century Gothic" w:hAnsi="Century Gothic"/>
                <w:color w:val="000000"/>
                <w:sz w:val="14"/>
                <w:szCs w:val="14"/>
                <w:lang w:eastAsia="es-PE"/>
              </w:rPr>
            </w:pPr>
            <w:r w:rsidRPr="00272CC8">
              <w:rPr>
                <w:rFonts w:ascii="Century Gothic" w:hAnsi="Century Gothic"/>
                <w:color w:val="000000"/>
                <w:sz w:val="14"/>
                <w:szCs w:val="14"/>
                <w:lang w:eastAsia="es-PE"/>
              </w:rPr>
              <w:t>Bajo</w:t>
            </w:r>
          </w:p>
        </w:tc>
        <w:tc>
          <w:tcPr>
            <w:tcW w:w="575" w:type="pct"/>
            <w:tcBorders>
              <w:top w:val="single" w:sz="4" w:space="0" w:color="auto"/>
            </w:tcBorders>
            <w:shd w:val="clear" w:color="auto" w:fill="CBD3DF"/>
            <w:noWrap/>
            <w:hideMark/>
          </w:tcPr>
          <w:p w14:paraId="2AE57842"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10</w:t>
            </w:r>
          </w:p>
        </w:tc>
        <w:tc>
          <w:tcPr>
            <w:tcW w:w="739" w:type="pct"/>
            <w:tcBorders>
              <w:top w:val="single" w:sz="4" w:space="0" w:color="auto"/>
            </w:tcBorders>
            <w:shd w:val="clear" w:color="auto" w:fill="CBD3DF"/>
          </w:tcPr>
          <w:p w14:paraId="404341CF"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14,9</w:t>
            </w:r>
          </w:p>
        </w:tc>
        <w:tc>
          <w:tcPr>
            <w:tcW w:w="739" w:type="pct"/>
            <w:tcBorders>
              <w:top w:val="single" w:sz="4" w:space="0" w:color="auto"/>
            </w:tcBorders>
            <w:shd w:val="clear" w:color="auto" w:fill="CBD3DF"/>
          </w:tcPr>
          <w:p w14:paraId="6F408720"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46</w:t>
            </w:r>
          </w:p>
        </w:tc>
        <w:tc>
          <w:tcPr>
            <w:tcW w:w="739" w:type="pct"/>
            <w:tcBorders>
              <w:top w:val="single" w:sz="4" w:space="0" w:color="auto"/>
            </w:tcBorders>
            <w:shd w:val="clear" w:color="auto" w:fill="CBD3DF"/>
          </w:tcPr>
          <w:p w14:paraId="198CCA2B"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68,7</w:t>
            </w:r>
          </w:p>
        </w:tc>
        <w:tc>
          <w:tcPr>
            <w:tcW w:w="739" w:type="pct"/>
            <w:tcBorders>
              <w:top w:val="single" w:sz="4" w:space="0" w:color="auto"/>
            </w:tcBorders>
            <w:shd w:val="clear" w:color="auto" w:fill="CBD3DF"/>
          </w:tcPr>
          <w:p w14:paraId="49348AB1"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0</w:t>
            </w:r>
          </w:p>
        </w:tc>
        <w:tc>
          <w:tcPr>
            <w:tcW w:w="739" w:type="pct"/>
            <w:tcBorders>
              <w:top w:val="single" w:sz="4" w:space="0" w:color="auto"/>
            </w:tcBorders>
            <w:shd w:val="clear" w:color="auto" w:fill="CBD3DF"/>
          </w:tcPr>
          <w:p w14:paraId="7FB9958B"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0</w:t>
            </w:r>
          </w:p>
        </w:tc>
      </w:tr>
      <w:tr w:rsidR="004F2FE5" w:rsidRPr="00272CC8" w14:paraId="79F3CC4E" w14:textId="77777777" w:rsidTr="001818DA">
        <w:trPr>
          <w:trHeight w:val="65"/>
        </w:trPr>
        <w:tc>
          <w:tcPr>
            <w:tcW w:w="729" w:type="pct"/>
            <w:shd w:val="clear" w:color="auto" w:fill="CBD3DF"/>
            <w:vAlign w:val="center"/>
            <w:hideMark/>
          </w:tcPr>
          <w:p w14:paraId="71A970E5" w14:textId="77777777" w:rsidR="004F2FE5" w:rsidRPr="00272CC8" w:rsidRDefault="004F2FE5" w:rsidP="004F2FE5">
            <w:pPr>
              <w:rPr>
                <w:rFonts w:ascii="Century Gothic" w:hAnsi="Century Gothic"/>
                <w:color w:val="000000"/>
                <w:sz w:val="14"/>
                <w:szCs w:val="14"/>
                <w:lang w:eastAsia="es-PE"/>
              </w:rPr>
            </w:pPr>
            <w:r w:rsidRPr="00272CC8">
              <w:rPr>
                <w:rFonts w:ascii="Century Gothic" w:hAnsi="Century Gothic"/>
                <w:color w:val="000000"/>
                <w:sz w:val="14"/>
                <w:szCs w:val="14"/>
                <w:lang w:eastAsia="es-PE"/>
              </w:rPr>
              <w:t>Medio</w:t>
            </w:r>
          </w:p>
        </w:tc>
        <w:tc>
          <w:tcPr>
            <w:tcW w:w="575" w:type="pct"/>
            <w:shd w:val="clear" w:color="auto" w:fill="CBD3DF"/>
            <w:noWrap/>
            <w:hideMark/>
          </w:tcPr>
          <w:p w14:paraId="0C5CEAB2"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57</w:t>
            </w:r>
          </w:p>
        </w:tc>
        <w:tc>
          <w:tcPr>
            <w:tcW w:w="739" w:type="pct"/>
            <w:shd w:val="clear" w:color="auto" w:fill="CBD3DF"/>
          </w:tcPr>
          <w:p w14:paraId="63A4588C"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85,1</w:t>
            </w:r>
          </w:p>
        </w:tc>
        <w:tc>
          <w:tcPr>
            <w:tcW w:w="739" w:type="pct"/>
            <w:shd w:val="clear" w:color="auto" w:fill="CBD3DF"/>
          </w:tcPr>
          <w:p w14:paraId="32E5E14E"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20</w:t>
            </w:r>
          </w:p>
        </w:tc>
        <w:tc>
          <w:tcPr>
            <w:tcW w:w="739" w:type="pct"/>
            <w:shd w:val="clear" w:color="auto" w:fill="CBD3DF"/>
          </w:tcPr>
          <w:p w14:paraId="38013D23"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29,9</w:t>
            </w:r>
          </w:p>
        </w:tc>
        <w:tc>
          <w:tcPr>
            <w:tcW w:w="739" w:type="pct"/>
            <w:shd w:val="clear" w:color="auto" w:fill="CBD3DF"/>
          </w:tcPr>
          <w:p w14:paraId="22932C5A"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62</w:t>
            </w:r>
          </w:p>
        </w:tc>
        <w:tc>
          <w:tcPr>
            <w:tcW w:w="739" w:type="pct"/>
            <w:shd w:val="clear" w:color="auto" w:fill="CBD3DF"/>
          </w:tcPr>
          <w:p w14:paraId="03193ADC"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92,5</w:t>
            </w:r>
          </w:p>
        </w:tc>
      </w:tr>
      <w:tr w:rsidR="004F2FE5" w:rsidRPr="00272CC8" w14:paraId="04B202EA" w14:textId="77777777" w:rsidTr="001818DA">
        <w:trPr>
          <w:trHeight w:val="65"/>
        </w:trPr>
        <w:tc>
          <w:tcPr>
            <w:tcW w:w="729" w:type="pct"/>
            <w:shd w:val="clear" w:color="auto" w:fill="CBD3DF"/>
            <w:vAlign w:val="center"/>
            <w:hideMark/>
          </w:tcPr>
          <w:p w14:paraId="18F1C9FF" w14:textId="77777777" w:rsidR="004F2FE5" w:rsidRPr="00272CC8" w:rsidRDefault="004F2FE5" w:rsidP="004F2FE5">
            <w:pPr>
              <w:rPr>
                <w:rFonts w:ascii="Century Gothic" w:hAnsi="Century Gothic"/>
                <w:color w:val="000000"/>
                <w:sz w:val="14"/>
                <w:szCs w:val="14"/>
                <w:lang w:eastAsia="es-PE"/>
              </w:rPr>
            </w:pPr>
            <w:r w:rsidRPr="00272CC8">
              <w:rPr>
                <w:rFonts w:ascii="Century Gothic" w:hAnsi="Century Gothic"/>
                <w:color w:val="000000"/>
                <w:sz w:val="14"/>
                <w:szCs w:val="14"/>
                <w:lang w:eastAsia="es-PE"/>
              </w:rPr>
              <w:t>Alto</w:t>
            </w:r>
          </w:p>
        </w:tc>
        <w:tc>
          <w:tcPr>
            <w:tcW w:w="575" w:type="pct"/>
            <w:shd w:val="clear" w:color="auto" w:fill="CBD3DF"/>
            <w:noWrap/>
          </w:tcPr>
          <w:p w14:paraId="0EDEF735"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0</w:t>
            </w:r>
          </w:p>
        </w:tc>
        <w:tc>
          <w:tcPr>
            <w:tcW w:w="739" w:type="pct"/>
            <w:shd w:val="clear" w:color="auto" w:fill="CBD3DF"/>
          </w:tcPr>
          <w:p w14:paraId="1ABE6F3E"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color w:val="000000"/>
                <w:sz w:val="14"/>
                <w:szCs w:val="14"/>
                <w:lang w:eastAsia="es-PE"/>
              </w:rPr>
              <w:t>0</w:t>
            </w:r>
          </w:p>
        </w:tc>
        <w:tc>
          <w:tcPr>
            <w:tcW w:w="739" w:type="pct"/>
            <w:shd w:val="clear" w:color="auto" w:fill="CBD3DF"/>
          </w:tcPr>
          <w:p w14:paraId="16BE5FD6"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w:t>
            </w:r>
          </w:p>
        </w:tc>
        <w:tc>
          <w:tcPr>
            <w:tcW w:w="739" w:type="pct"/>
            <w:shd w:val="clear" w:color="auto" w:fill="CBD3DF"/>
          </w:tcPr>
          <w:p w14:paraId="206F6511"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1,5</w:t>
            </w:r>
          </w:p>
        </w:tc>
        <w:tc>
          <w:tcPr>
            <w:tcW w:w="739" w:type="pct"/>
            <w:shd w:val="clear" w:color="auto" w:fill="CBD3DF"/>
          </w:tcPr>
          <w:p w14:paraId="6C850C39"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5</w:t>
            </w:r>
          </w:p>
        </w:tc>
        <w:tc>
          <w:tcPr>
            <w:tcW w:w="739" w:type="pct"/>
            <w:shd w:val="clear" w:color="auto" w:fill="CBD3DF"/>
          </w:tcPr>
          <w:p w14:paraId="4732D8BF"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7,5</w:t>
            </w:r>
          </w:p>
        </w:tc>
      </w:tr>
      <w:tr w:rsidR="004F2FE5" w:rsidRPr="00272CC8" w14:paraId="5E4A4230" w14:textId="77777777" w:rsidTr="001818DA">
        <w:trPr>
          <w:trHeight w:val="65"/>
        </w:trPr>
        <w:tc>
          <w:tcPr>
            <w:tcW w:w="729" w:type="pct"/>
            <w:shd w:val="clear" w:color="auto" w:fill="CBD3DF"/>
            <w:vAlign w:val="center"/>
          </w:tcPr>
          <w:p w14:paraId="3C267139" w14:textId="77777777" w:rsidR="004F2FE5" w:rsidRPr="00272CC8" w:rsidRDefault="004F2FE5" w:rsidP="004F2FE5">
            <w:pPr>
              <w:rPr>
                <w:rFonts w:ascii="Century Gothic" w:hAnsi="Century Gothic"/>
                <w:color w:val="000000"/>
                <w:sz w:val="14"/>
                <w:szCs w:val="14"/>
                <w:lang w:eastAsia="es-PE"/>
              </w:rPr>
            </w:pPr>
            <w:r w:rsidRPr="00272CC8">
              <w:rPr>
                <w:rFonts w:ascii="Century Gothic" w:hAnsi="Century Gothic"/>
                <w:color w:val="000000"/>
                <w:sz w:val="14"/>
                <w:szCs w:val="14"/>
                <w:lang w:eastAsia="es-PE"/>
              </w:rPr>
              <w:t>Total</w:t>
            </w:r>
          </w:p>
        </w:tc>
        <w:tc>
          <w:tcPr>
            <w:tcW w:w="575" w:type="pct"/>
            <w:shd w:val="clear" w:color="auto" w:fill="CBD3DF"/>
            <w:noWrap/>
          </w:tcPr>
          <w:p w14:paraId="29D2639C"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67</w:t>
            </w:r>
          </w:p>
        </w:tc>
        <w:tc>
          <w:tcPr>
            <w:tcW w:w="739" w:type="pct"/>
            <w:shd w:val="clear" w:color="auto" w:fill="CBD3DF"/>
          </w:tcPr>
          <w:p w14:paraId="07443197"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100,0</w:t>
            </w:r>
          </w:p>
        </w:tc>
        <w:tc>
          <w:tcPr>
            <w:tcW w:w="739" w:type="pct"/>
            <w:shd w:val="clear" w:color="auto" w:fill="CBD3DF"/>
          </w:tcPr>
          <w:p w14:paraId="5E2F2021"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67</w:t>
            </w:r>
          </w:p>
        </w:tc>
        <w:tc>
          <w:tcPr>
            <w:tcW w:w="739" w:type="pct"/>
            <w:shd w:val="clear" w:color="auto" w:fill="CBD3DF"/>
          </w:tcPr>
          <w:p w14:paraId="50F08D9F"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100,0</w:t>
            </w:r>
          </w:p>
        </w:tc>
        <w:tc>
          <w:tcPr>
            <w:tcW w:w="739" w:type="pct"/>
            <w:shd w:val="clear" w:color="auto" w:fill="CBD3DF"/>
          </w:tcPr>
          <w:p w14:paraId="3775DB5D"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67</w:t>
            </w:r>
          </w:p>
        </w:tc>
        <w:tc>
          <w:tcPr>
            <w:tcW w:w="739" w:type="pct"/>
            <w:shd w:val="clear" w:color="auto" w:fill="CBD3DF"/>
          </w:tcPr>
          <w:p w14:paraId="3F6D4704" w14:textId="77777777" w:rsidR="004F2FE5" w:rsidRPr="00272CC8" w:rsidRDefault="004F2FE5" w:rsidP="004F2FE5">
            <w:pPr>
              <w:jc w:val="center"/>
              <w:rPr>
                <w:rFonts w:ascii="Century Gothic" w:hAnsi="Century Gothic"/>
                <w:color w:val="000000"/>
                <w:sz w:val="14"/>
                <w:szCs w:val="14"/>
                <w:lang w:eastAsia="es-PE"/>
              </w:rPr>
            </w:pPr>
            <w:r w:rsidRPr="00272CC8">
              <w:rPr>
                <w:rFonts w:ascii="Century Gothic" w:hAnsi="Century Gothic"/>
                <w:sz w:val="14"/>
                <w:szCs w:val="14"/>
              </w:rPr>
              <w:t>100,0</w:t>
            </w:r>
          </w:p>
        </w:tc>
      </w:tr>
    </w:tbl>
    <w:p w14:paraId="4B15AAE6" w14:textId="77777777" w:rsidR="004F2FE5" w:rsidRPr="00EA3757" w:rsidRDefault="004F2FE5" w:rsidP="009E6864">
      <w:pPr>
        <w:jc w:val="both"/>
        <w:rPr>
          <w:rFonts w:ascii="Century Gothic" w:eastAsia="Century Gothic" w:hAnsi="Century Gothic" w:cs="Century Gothic"/>
          <w:sz w:val="16"/>
          <w:szCs w:val="16"/>
        </w:rPr>
      </w:pPr>
    </w:p>
    <w:p w14:paraId="2093C65D" w14:textId="09AD040D" w:rsidR="004F2FE5" w:rsidRPr="001818DA" w:rsidRDefault="00A8271F" w:rsidP="009E6864">
      <w:pPr>
        <w:jc w:val="both"/>
        <w:rPr>
          <w:rFonts w:ascii="Century Gothic" w:eastAsia="Century Gothic" w:hAnsi="Century Gothic" w:cs="Century Gothic"/>
          <w:sz w:val="18"/>
          <w:szCs w:val="18"/>
        </w:rPr>
      </w:pPr>
      <w:r w:rsidRPr="00272CC8">
        <w:rPr>
          <w:rFonts w:ascii="Century Gothic" w:eastAsia="Century Gothic" w:hAnsi="Century Gothic" w:cs="Century Gothic"/>
          <w:sz w:val="18"/>
          <w:szCs w:val="18"/>
        </w:rPr>
        <w:t>La tabla 2 revela que la mayoría de los servidores públicos de SUNAT consideran la regularización de ingresos no declarados como media (85.1%), con una minoría viéndola como baja (14.9%). Los incentivos para la declaración</w:t>
      </w:r>
      <w:r w:rsidRPr="00A8271F">
        <w:rPr>
          <w:rFonts w:ascii="Century Gothic" w:eastAsia="Century Gothic" w:hAnsi="Century Gothic" w:cs="Century Gothic"/>
          <w:sz w:val="18"/>
          <w:szCs w:val="18"/>
        </w:rPr>
        <w:t xml:space="preserve"> y repatriación de ingresos son percibidos como altos por el 68.7%, aunque el 29.9% los ve como medios. En cuanto a las obligaciones fiscales y políticas tributarias, el 92.5% las consideran intermedias, mientras que solo el 7.5% las percibe como altas. En </w:t>
      </w:r>
      <w:r>
        <w:rPr>
          <w:rFonts w:ascii="Century Gothic" w:eastAsia="Century Gothic" w:hAnsi="Century Gothic" w:cs="Century Gothic"/>
          <w:sz w:val="18"/>
          <w:szCs w:val="18"/>
        </w:rPr>
        <w:t>otras líneas</w:t>
      </w:r>
      <w:r w:rsidRPr="00A8271F">
        <w:rPr>
          <w:rFonts w:ascii="Century Gothic" w:eastAsia="Century Gothic" w:hAnsi="Century Gothic" w:cs="Century Gothic"/>
          <w:sz w:val="18"/>
          <w:szCs w:val="18"/>
        </w:rPr>
        <w:t xml:space="preserve">, los servidores públicos ven una regularización adecuada y una buena motivación para la repatriación de ingresos, pero perciben las obligaciones fiscales principalmente en un nivel medio, lo que </w:t>
      </w:r>
      <w:r w:rsidRPr="001818DA">
        <w:rPr>
          <w:rFonts w:ascii="Century Gothic" w:eastAsia="Century Gothic" w:hAnsi="Century Gothic" w:cs="Century Gothic"/>
          <w:sz w:val="18"/>
          <w:szCs w:val="18"/>
        </w:rPr>
        <w:t>podría influir en la gestión fiscal de la Intendencia.</w:t>
      </w:r>
    </w:p>
    <w:p w14:paraId="4D81213E" w14:textId="3AB823F7" w:rsidR="009B6738" w:rsidRPr="001818DA" w:rsidRDefault="009B6738" w:rsidP="009B6738">
      <w:pPr>
        <w:jc w:val="both"/>
        <w:rPr>
          <w:rFonts w:ascii="Century Gothic" w:eastAsia="Century Gothic" w:hAnsi="Century Gothic" w:cs="Century Gothic"/>
          <w:sz w:val="18"/>
          <w:szCs w:val="18"/>
        </w:rPr>
      </w:pPr>
      <w:r w:rsidRPr="001818DA">
        <w:rPr>
          <w:rFonts w:ascii="Century Gothic" w:eastAsia="Century Gothic" w:hAnsi="Century Gothic" w:cs="Century Gothic"/>
          <w:sz w:val="18"/>
          <w:szCs w:val="18"/>
        </w:rPr>
        <w:t xml:space="preserve">En línea con estos resultados, </w:t>
      </w:r>
      <w:r w:rsidR="007A44AA" w:rsidRPr="001818DA">
        <w:rPr>
          <w:rFonts w:ascii="Century Gothic" w:eastAsia="Century Gothic" w:hAnsi="Century Gothic" w:cs="Century Gothic"/>
          <w:sz w:val="18"/>
          <w:szCs w:val="18"/>
        </w:rPr>
        <w:t>Castañeda (2017a)</w:t>
      </w:r>
      <w:r w:rsidRPr="001818DA">
        <w:rPr>
          <w:rFonts w:ascii="Century Gothic" w:eastAsia="Century Gothic" w:hAnsi="Century Gothic" w:cs="Century Gothic"/>
          <w:sz w:val="18"/>
          <w:szCs w:val="18"/>
        </w:rPr>
        <w:t xml:space="preserve"> señala que la percepción sobre la regularización de ingresos no declarados depende en gran medida de la claridad de los procesos y de la facilidad de acceso a las herramientas de cumplimiento tributario. </w:t>
      </w:r>
      <w:r w:rsidR="007A44AA" w:rsidRPr="001818DA">
        <w:rPr>
          <w:rFonts w:ascii="Century Gothic" w:eastAsia="Century Gothic" w:hAnsi="Century Gothic" w:cs="Century Gothic"/>
          <w:sz w:val="18"/>
          <w:szCs w:val="18"/>
        </w:rPr>
        <w:t>Por tanto, e</w:t>
      </w:r>
      <w:r w:rsidRPr="001818DA">
        <w:rPr>
          <w:rFonts w:ascii="Century Gothic" w:eastAsia="Century Gothic" w:hAnsi="Century Gothic" w:cs="Century Gothic"/>
          <w:sz w:val="18"/>
          <w:szCs w:val="18"/>
        </w:rPr>
        <w:t>sto resalta que, aunque los nive</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 xml:space="preserve">les de regularización sean percibidos como medios, mejorar la comunicación y </w:t>
      </w:r>
      <w:r w:rsidRPr="001818DA">
        <w:rPr>
          <w:rFonts w:ascii="Century Gothic" w:eastAsia="Century Gothic" w:hAnsi="Century Gothic" w:cs="Century Gothic"/>
          <w:sz w:val="18"/>
          <w:szCs w:val="18"/>
        </w:rPr>
        <w:lastRenderedPageBreak/>
        <w:t>simplificar los procedimientos podría au</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 xml:space="preserve">mentar su efectividad. </w:t>
      </w:r>
      <w:r w:rsidR="007A44AA" w:rsidRPr="001818DA">
        <w:rPr>
          <w:rFonts w:ascii="Century Gothic" w:eastAsia="Century Gothic" w:hAnsi="Century Gothic" w:cs="Century Gothic"/>
          <w:sz w:val="18"/>
          <w:szCs w:val="18"/>
        </w:rPr>
        <w:t>En ese sentido, un es</w:t>
      </w:r>
      <w:r w:rsidR="000E6966">
        <w:rPr>
          <w:rFonts w:ascii="Century Gothic" w:eastAsia="Century Gothic" w:hAnsi="Century Gothic" w:cs="Century Gothic"/>
          <w:sz w:val="18"/>
          <w:szCs w:val="18"/>
        </w:rPr>
        <w:softHyphen/>
      </w:r>
      <w:r w:rsidR="007A44AA" w:rsidRPr="001818DA">
        <w:rPr>
          <w:rFonts w:ascii="Century Gothic" w:eastAsia="Century Gothic" w:hAnsi="Century Gothic" w:cs="Century Gothic"/>
          <w:sz w:val="18"/>
          <w:szCs w:val="18"/>
        </w:rPr>
        <w:t>tudio similar fue el presentado por</w:t>
      </w:r>
      <w:r w:rsidRPr="001818DA">
        <w:rPr>
          <w:rFonts w:ascii="Century Gothic" w:eastAsia="Century Gothic" w:hAnsi="Century Gothic" w:cs="Century Gothic"/>
          <w:sz w:val="18"/>
          <w:szCs w:val="18"/>
        </w:rPr>
        <w:t xml:space="preserve"> </w:t>
      </w:r>
      <w:r w:rsidR="007A44AA" w:rsidRPr="001818DA">
        <w:rPr>
          <w:rFonts w:ascii="Century Gothic" w:eastAsia="Century Gothic" w:hAnsi="Century Gothic" w:cs="Century Gothic"/>
          <w:sz w:val="18"/>
          <w:szCs w:val="18"/>
        </w:rPr>
        <w:t>Magin et al. (2020)</w:t>
      </w:r>
      <w:r w:rsidRPr="001818DA">
        <w:rPr>
          <w:rFonts w:ascii="Century Gothic" w:eastAsia="Century Gothic" w:hAnsi="Century Gothic" w:cs="Century Gothic"/>
          <w:sz w:val="18"/>
          <w:szCs w:val="18"/>
        </w:rPr>
        <w:t>,</w:t>
      </w:r>
      <w:r w:rsidR="007A44AA" w:rsidRPr="001818DA">
        <w:rPr>
          <w:rFonts w:ascii="Century Gothic" w:eastAsia="Century Gothic" w:hAnsi="Century Gothic" w:cs="Century Gothic"/>
          <w:sz w:val="18"/>
          <w:szCs w:val="18"/>
        </w:rPr>
        <w:t xml:space="preserve"> quienes</w:t>
      </w:r>
      <w:r w:rsidRPr="001818DA">
        <w:rPr>
          <w:rFonts w:ascii="Century Gothic" w:eastAsia="Century Gothic" w:hAnsi="Century Gothic" w:cs="Century Gothic"/>
          <w:sz w:val="18"/>
          <w:szCs w:val="18"/>
        </w:rPr>
        <w:t xml:space="preserve"> explica</w:t>
      </w:r>
      <w:r w:rsidR="007A44AA" w:rsidRPr="001818DA">
        <w:rPr>
          <w:rFonts w:ascii="Century Gothic" w:eastAsia="Century Gothic" w:hAnsi="Century Gothic" w:cs="Century Gothic"/>
          <w:sz w:val="18"/>
          <w:szCs w:val="18"/>
        </w:rPr>
        <w:t>n</w:t>
      </w:r>
      <w:r w:rsidRPr="001818DA">
        <w:rPr>
          <w:rFonts w:ascii="Century Gothic" w:eastAsia="Century Gothic" w:hAnsi="Century Gothic" w:cs="Century Gothic"/>
          <w:sz w:val="18"/>
          <w:szCs w:val="18"/>
        </w:rPr>
        <w:t xml:space="preserve"> que, los incenti</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 xml:space="preserve">vos para la repatriación de ingresos son más efectivos cuando están </w:t>
      </w:r>
      <w:r w:rsidR="007A44AA" w:rsidRPr="001818DA">
        <w:rPr>
          <w:rFonts w:ascii="Century Gothic" w:eastAsia="Century Gothic" w:hAnsi="Century Gothic" w:cs="Century Gothic"/>
          <w:sz w:val="18"/>
          <w:szCs w:val="18"/>
        </w:rPr>
        <w:t>conducidos</w:t>
      </w:r>
      <w:r w:rsidRPr="001818DA">
        <w:rPr>
          <w:rFonts w:ascii="Century Gothic" w:eastAsia="Century Gothic" w:hAnsi="Century Gothic" w:cs="Century Gothic"/>
          <w:sz w:val="18"/>
          <w:szCs w:val="18"/>
        </w:rPr>
        <w:t xml:space="preserve"> de un marco normativo sólido y de una percep</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ción de justicia fiscal por parte de los contri</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buyentes. Este hallazgo es coherente con el hecho de que un porcentaje de servidores perciba los incentivos tributarios como altos, pero también subraya la importancia de reforzar las políticas para garantizar su efectividad.</w:t>
      </w:r>
    </w:p>
    <w:p w14:paraId="19CA7682" w14:textId="073118FF" w:rsidR="00F422DF" w:rsidRPr="00E43DCC" w:rsidRDefault="00F422DF" w:rsidP="009E6864">
      <w:pPr>
        <w:jc w:val="both"/>
        <w:rPr>
          <w:rFonts w:ascii="Century Gothic" w:eastAsia="Century Gothic" w:hAnsi="Century Gothic" w:cs="Century Gothic"/>
          <w:sz w:val="14"/>
          <w:szCs w:val="14"/>
        </w:rPr>
      </w:pPr>
    </w:p>
    <w:p w14:paraId="1067F092" w14:textId="3C7610B0" w:rsidR="009E6864" w:rsidRPr="001818DA" w:rsidRDefault="009E6864" w:rsidP="009E6864">
      <w:pPr>
        <w:jc w:val="both"/>
        <w:rPr>
          <w:rFonts w:ascii="Century Gothic" w:eastAsia="Century Gothic" w:hAnsi="Century Gothic" w:cs="Century Gothic"/>
          <w:b/>
          <w:sz w:val="14"/>
          <w:szCs w:val="14"/>
        </w:rPr>
      </w:pPr>
      <w:r w:rsidRPr="001818DA">
        <w:rPr>
          <w:rFonts w:ascii="Century Gothic" w:eastAsia="Century Gothic" w:hAnsi="Century Gothic" w:cs="Century Gothic"/>
          <w:b/>
          <w:sz w:val="14"/>
          <w:szCs w:val="14"/>
        </w:rPr>
        <w:t xml:space="preserve">Tabla </w:t>
      </w:r>
      <w:r w:rsidR="009B5EEC" w:rsidRPr="001818DA">
        <w:rPr>
          <w:rFonts w:ascii="Century Gothic" w:eastAsia="Century Gothic" w:hAnsi="Century Gothic" w:cs="Century Gothic"/>
          <w:b/>
          <w:sz w:val="14"/>
          <w:szCs w:val="14"/>
        </w:rPr>
        <w:t>3</w:t>
      </w:r>
    </w:p>
    <w:p w14:paraId="03F09C0D" w14:textId="36C0A19B" w:rsidR="0054387B" w:rsidRDefault="009B5EEC" w:rsidP="00555DA7">
      <w:pPr>
        <w:jc w:val="both"/>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Nivel del trato igualitario al contribuyente</w:t>
      </w:r>
    </w:p>
    <w:p w14:paraId="24121721" w14:textId="77777777" w:rsidR="00E43DCC" w:rsidRPr="00E43DCC" w:rsidRDefault="00E43DCC" w:rsidP="00555DA7">
      <w:pPr>
        <w:jc w:val="both"/>
        <w:rPr>
          <w:rFonts w:ascii="Century Gothic" w:eastAsia="Century Gothic" w:hAnsi="Century Gothic" w:cs="Century Gothic"/>
          <w:sz w:val="6"/>
          <w:szCs w:val="6"/>
        </w:rPr>
      </w:pPr>
    </w:p>
    <w:tbl>
      <w:tblPr>
        <w:tblW w:w="3773" w:type="dxa"/>
        <w:tblBorders>
          <w:top w:val="single" w:sz="4" w:space="0" w:color="auto"/>
          <w:bottom w:val="single" w:sz="4" w:space="0" w:color="auto"/>
        </w:tblBorders>
        <w:shd w:val="clear" w:color="auto" w:fill="CBD3DF"/>
        <w:tblLayout w:type="fixed"/>
        <w:tblCellMar>
          <w:left w:w="0" w:type="dxa"/>
          <w:right w:w="0" w:type="dxa"/>
        </w:tblCellMar>
        <w:tblLook w:val="0000" w:firstRow="0" w:lastRow="0" w:firstColumn="0" w:lastColumn="0" w:noHBand="0" w:noVBand="0"/>
      </w:tblPr>
      <w:tblGrid>
        <w:gridCol w:w="1413"/>
        <w:gridCol w:w="1134"/>
        <w:gridCol w:w="1226"/>
      </w:tblGrid>
      <w:tr w:rsidR="00A84A9E" w:rsidRPr="001818DA" w14:paraId="2328D1E9" w14:textId="77777777" w:rsidTr="0039303F">
        <w:trPr>
          <w:cantSplit/>
          <w:trHeight w:val="79"/>
        </w:trPr>
        <w:tc>
          <w:tcPr>
            <w:tcW w:w="1413" w:type="dxa"/>
            <w:tcBorders>
              <w:top w:val="single" w:sz="4" w:space="0" w:color="auto"/>
              <w:bottom w:val="single" w:sz="4" w:space="0" w:color="auto"/>
            </w:tcBorders>
            <w:shd w:val="clear" w:color="auto" w:fill="CBD3DF"/>
            <w:vAlign w:val="bottom"/>
          </w:tcPr>
          <w:p w14:paraId="3436D8DD" w14:textId="0EB67C93" w:rsidR="00A84A9E" w:rsidRPr="001818DA" w:rsidRDefault="0039303F" w:rsidP="004F2FE5">
            <w:pPr>
              <w:ind w:left="284"/>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A84A9E" w:rsidRPr="001818DA">
              <w:rPr>
                <w:rFonts w:ascii="Century Gothic" w:eastAsia="Century Gothic" w:hAnsi="Century Gothic" w:cs="Century Gothic"/>
                <w:sz w:val="14"/>
                <w:szCs w:val="14"/>
              </w:rPr>
              <w:t>Nivel</w:t>
            </w:r>
          </w:p>
        </w:tc>
        <w:tc>
          <w:tcPr>
            <w:tcW w:w="1134" w:type="dxa"/>
            <w:tcBorders>
              <w:top w:val="single" w:sz="4" w:space="0" w:color="auto"/>
              <w:bottom w:val="single" w:sz="4" w:space="0" w:color="auto"/>
            </w:tcBorders>
            <w:shd w:val="clear" w:color="auto" w:fill="CBD3DF"/>
            <w:vAlign w:val="bottom"/>
          </w:tcPr>
          <w:p w14:paraId="372A75AB" w14:textId="77777777" w:rsidR="00A84A9E" w:rsidRPr="001818DA" w:rsidRDefault="00A84A9E" w:rsidP="004F2FE5">
            <w:pPr>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f</w:t>
            </w:r>
          </w:p>
        </w:tc>
        <w:tc>
          <w:tcPr>
            <w:tcW w:w="1226" w:type="dxa"/>
            <w:tcBorders>
              <w:top w:val="single" w:sz="4" w:space="0" w:color="auto"/>
              <w:bottom w:val="single" w:sz="4" w:space="0" w:color="auto"/>
            </w:tcBorders>
            <w:shd w:val="clear" w:color="auto" w:fill="CBD3DF"/>
            <w:vAlign w:val="bottom"/>
          </w:tcPr>
          <w:p w14:paraId="72F103B9" w14:textId="77777777" w:rsidR="00A84A9E" w:rsidRPr="001818DA" w:rsidRDefault="00A84A9E" w:rsidP="004F2FE5">
            <w:pPr>
              <w:autoSpaceDE w:val="0"/>
              <w:autoSpaceDN w:val="0"/>
              <w:adjustRightInd w:val="0"/>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w:t>
            </w:r>
          </w:p>
        </w:tc>
      </w:tr>
      <w:tr w:rsidR="00A84A9E" w:rsidRPr="001818DA" w14:paraId="620396BE" w14:textId="77777777" w:rsidTr="0039303F">
        <w:trPr>
          <w:cantSplit/>
          <w:trHeight w:val="70"/>
        </w:trPr>
        <w:tc>
          <w:tcPr>
            <w:tcW w:w="1413" w:type="dxa"/>
            <w:tcBorders>
              <w:top w:val="single" w:sz="4" w:space="0" w:color="auto"/>
            </w:tcBorders>
            <w:shd w:val="clear" w:color="auto" w:fill="CBD3DF"/>
          </w:tcPr>
          <w:p w14:paraId="70099B4D" w14:textId="6B3E0042" w:rsidR="00A84A9E" w:rsidRPr="001818DA" w:rsidRDefault="0039303F" w:rsidP="004F2FE5">
            <w:pPr>
              <w:ind w:left="284"/>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A84A9E" w:rsidRPr="001818DA">
              <w:rPr>
                <w:rFonts w:ascii="Century Gothic" w:eastAsia="Century Gothic" w:hAnsi="Century Gothic" w:cs="Century Gothic"/>
                <w:sz w:val="14"/>
                <w:szCs w:val="14"/>
              </w:rPr>
              <w:t xml:space="preserve">Bajo </w:t>
            </w:r>
          </w:p>
        </w:tc>
        <w:tc>
          <w:tcPr>
            <w:tcW w:w="1134" w:type="dxa"/>
            <w:tcBorders>
              <w:top w:val="single" w:sz="4" w:space="0" w:color="auto"/>
            </w:tcBorders>
            <w:shd w:val="clear" w:color="auto" w:fill="CBD3DF"/>
          </w:tcPr>
          <w:p w14:paraId="3B97DA00" w14:textId="77777777" w:rsidR="00A84A9E" w:rsidRPr="001818DA" w:rsidRDefault="00A84A9E" w:rsidP="004F2FE5">
            <w:pPr>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0</w:t>
            </w:r>
          </w:p>
        </w:tc>
        <w:tc>
          <w:tcPr>
            <w:tcW w:w="1226" w:type="dxa"/>
            <w:tcBorders>
              <w:top w:val="single" w:sz="4" w:space="0" w:color="auto"/>
            </w:tcBorders>
            <w:shd w:val="clear" w:color="auto" w:fill="CBD3DF"/>
          </w:tcPr>
          <w:p w14:paraId="4B9303BF" w14:textId="77777777" w:rsidR="00A84A9E" w:rsidRPr="001818DA" w:rsidRDefault="00A84A9E" w:rsidP="004F2FE5">
            <w:pPr>
              <w:autoSpaceDE w:val="0"/>
              <w:autoSpaceDN w:val="0"/>
              <w:adjustRightInd w:val="0"/>
              <w:ind w:left="60" w:right="60"/>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0</w:t>
            </w:r>
          </w:p>
        </w:tc>
      </w:tr>
      <w:tr w:rsidR="00A84A9E" w:rsidRPr="001818DA" w14:paraId="692D9526" w14:textId="77777777" w:rsidTr="0039303F">
        <w:trPr>
          <w:cantSplit/>
          <w:trHeight w:val="80"/>
        </w:trPr>
        <w:tc>
          <w:tcPr>
            <w:tcW w:w="1413" w:type="dxa"/>
            <w:shd w:val="clear" w:color="auto" w:fill="CBD3DF"/>
          </w:tcPr>
          <w:p w14:paraId="3EBAE77E" w14:textId="5088FA4A" w:rsidR="00A84A9E" w:rsidRPr="001818DA" w:rsidRDefault="0039303F" w:rsidP="004F2FE5">
            <w:pPr>
              <w:ind w:left="284"/>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A84A9E" w:rsidRPr="001818DA">
              <w:rPr>
                <w:rFonts w:ascii="Century Gothic" w:eastAsia="Century Gothic" w:hAnsi="Century Gothic" w:cs="Century Gothic"/>
                <w:sz w:val="14"/>
                <w:szCs w:val="14"/>
              </w:rPr>
              <w:t xml:space="preserve">Medio </w:t>
            </w:r>
          </w:p>
        </w:tc>
        <w:tc>
          <w:tcPr>
            <w:tcW w:w="1134" w:type="dxa"/>
            <w:shd w:val="clear" w:color="auto" w:fill="CBD3DF"/>
          </w:tcPr>
          <w:p w14:paraId="234F98E7" w14:textId="77777777" w:rsidR="00A84A9E" w:rsidRPr="001818DA" w:rsidRDefault="00A84A9E" w:rsidP="004F2FE5">
            <w:pPr>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62</w:t>
            </w:r>
          </w:p>
        </w:tc>
        <w:tc>
          <w:tcPr>
            <w:tcW w:w="1226" w:type="dxa"/>
            <w:shd w:val="clear" w:color="auto" w:fill="CBD3DF"/>
          </w:tcPr>
          <w:p w14:paraId="3FA99E60" w14:textId="77777777" w:rsidR="00A84A9E" w:rsidRPr="001818DA" w:rsidRDefault="00A84A9E" w:rsidP="004F2FE5">
            <w:pPr>
              <w:autoSpaceDE w:val="0"/>
              <w:autoSpaceDN w:val="0"/>
              <w:adjustRightInd w:val="0"/>
              <w:ind w:left="60" w:right="60"/>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92,5</w:t>
            </w:r>
          </w:p>
        </w:tc>
      </w:tr>
      <w:tr w:rsidR="00A84A9E" w:rsidRPr="001818DA" w14:paraId="05B58151" w14:textId="77777777" w:rsidTr="0039303F">
        <w:trPr>
          <w:cantSplit/>
          <w:trHeight w:val="80"/>
        </w:trPr>
        <w:tc>
          <w:tcPr>
            <w:tcW w:w="1413" w:type="dxa"/>
            <w:shd w:val="clear" w:color="auto" w:fill="CBD3DF"/>
          </w:tcPr>
          <w:p w14:paraId="14BFCF90" w14:textId="63C1178E" w:rsidR="00A84A9E" w:rsidRPr="001818DA" w:rsidRDefault="0039303F" w:rsidP="004F2FE5">
            <w:pPr>
              <w:ind w:left="284"/>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A84A9E" w:rsidRPr="001818DA">
              <w:rPr>
                <w:rFonts w:ascii="Century Gothic" w:eastAsia="Century Gothic" w:hAnsi="Century Gothic" w:cs="Century Gothic"/>
                <w:sz w:val="14"/>
                <w:szCs w:val="14"/>
              </w:rPr>
              <w:t xml:space="preserve">Alto </w:t>
            </w:r>
          </w:p>
        </w:tc>
        <w:tc>
          <w:tcPr>
            <w:tcW w:w="1134" w:type="dxa"/>
            <w:shd w:val="clear" w:color="auto" w:fill="CBD3DF"/>
          </w:tcPr>
          <w:p w14:paraId="1D8A8B5A" w14:textId="77777777" w:rsidR="00A84A9E" w:rsidRPr="001818DA" w:rsidRDefault="00A84A9E" w:rsidP="004F2FE5">
            <w:pPr>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5</w:t>
            </w:r>
          </w:p>
        </w:tc>
        <w:tc>
          <w:tcPr>
            <w:tcW w:w="1226" w:type="dxa"/>
            <w:shd w:val="clear" w:color="auto" w:fill="CBD3DF"/>
          </w:tcPr>
          <w:p w14:paraId="6710AC79" w14:textId="77777777" w:rsidR="00A84A9E" w:rsidRPr="001818DA" w:rsidRDefault="00A84A9E" w:rsidP="004F2FE5">
            <w:pPr>
              <w:autoSpaceDE w:val="0"/>
              <w:autoSpaceDN w:val="0"/>
              <w:adjustRightInd w:val="0"/>
              <w:ind w:left="60" w:right="60"/>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7,5</w:t>
            </w:r>
          </w:p>
        </w:tc>
      </w:tr>
      <w:tr w:rsidR="00A84A9E" w:rsidRPr="001818DA" w14:paraId="15F9081C" w14:textId="77777777" w:rsidTr="0039303F">
        <w:trPr>
          <w:cantSplit/>
          <w:trHeight w:val="70"/>
        </w:trPr>
        <w:tc>
          <w:tcPr>
            <w:tcW w:w="1413" w:type="dxa"/>
            <w:shd w:val="clear" w:color="auto" w:fill="CBD3DF"/>
          </w:tcPr>
          <w:p w14:paraId="1F2EAE5C" w14:textId="164ED61A" w:rsidR="00A84A9E" w:rsidRPr="001818DA" w:rsidRDefault="0039303F" w:rsidP="004F2FE5">
            <w:pPr>
              <w:ind w:left="284"/>
              <w:jc w:val="both"/>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sidR="00A84A9E" w:rsidRPr="001818DA">
              <w:rPr>
                <w:rFonts w:ascii="Century Gothic" w:eastAsia="Century Gothic" w:hAnsi="Century Gothic" w:cs="Century Gothic"/>
                <w:sz w:val="14"/>
                <w:szCs w:val="14"/>
              </w:rPr>
              <w:t>Total</w:t>
            </w:r>
          </w:p>
        </w:tc>
        <w:tc>
          <w:tcPr>
            <w:tcW w:w="1134" w:type="dxa"/>
            <w:shd w:val="clear" w:color="auto" w:fill="CBD3DF"/>
          </w:tcPr>
          <w:p w14:paraId="5CE3C029" w14:textId="77777777" w:rsidR="00A84A9E" w:rsidRPr="001818DA" w:rsidRDefault="00A84A9E" w:rsidP="004F2FE5">
            <w:pPr>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67</w:t>
            </w:r>
          </w:p>
        </w:tc>
        <w:tc>
          <w:tcPr>
            <w:tcW w:w="1226" w:type="dxa"/>
            <w:shd w:val="clear" w:color="auto" w:fill="CBD3DF"/>
          </w:tcPr>
          <w:p w14:paraId="284FBC56" w14:textId="77777777" w:rsidR="00A84A9E" w:rsidRPr="001818DA" w:rsidRDefault="00A84A9E" w:rsidP="004F2FE5">
            <w:pPr>
              <w:autoSpaceDE w:val="0"/>
              <w:autoSpaceDN w:val="0"/>
              <w:adjustRightInd w:val="0"/>
              <w:ind w:left="60" w:right="60"/>
              <w:jc w:val="center"/>
              <w:rPr>
                <w:rFonts w:ascii="Century Gothic" w:eastAsia="Century Gothic" w:hAnsi="Century Gothic" w:cs="Century Gothic"/>
                <w:sz w:val="14"/>
                <w:szCs w:val="14"/>
              </w:rPr>
            </w:pPr>
            <w:r w:rsidRPr="001818DA">
              <w:rPr>
                <w:rFonts w:ascii="Century Gothic" w:eastAsia="Century Gothic" w:hAnsi="Century Gothic" w:cs="Century Gothic"/>
                <w:sz w:val="14"/>
                <w:szCs w:val="14"/>
              </w:rPr>
              <w:t>100,0</w:t>
            </w:r>
          </w:p>
        </w:tc>
      </w:tr>
    </w:tbl>
    <w:p w14:paraId="0E1E2411" w14:textId="355A541A" w:rsidR="00A84A9E" w:rsidRPr="00EA3757" w:rsidRDefault="00A84A9E" w:rsidP="00555DA7">
      <w:pPr>
        <w:jc w:val="both"/>
        <w:rPr>
          <w:rFonts w:ascii="Century Gothic" w:eastAsia="Century Gothic" w:hAnsi="Century Gothic" w:cs="Century Gothic"/>
          <w:sz w:val="18"/>
          <w:szCs w:val="18"/>
        </w:rPr>
      </w:pPr>
    </w:p>
    <w:p w14:paraId="709E7F3D" w14:textId="04658CA6" w:rsidR="00446B51" w:rsidRPr="001818DA" w:rsidRDefault="00636956" w:rsidP="00636956">
      <w:pPr>
        <w:jc w:val="both"/>
        <w:rPr>
          <w:rFonts w:ascii="Century Gothic" w:eastAsia="Century Gothic" w:hAnsi="Century Gothic" w:cs="Century Gothic"/>
          <w:sz w:val="18"/>
          <w:szCs w:val="18"/>
        </w:rPr>
      </w:pPr>
      <w:r w:rsidRPr="00636956">
        <w:rPr>
          <w:rFonts w:ascii="Century Gothic" w:eastAsia="Century Gothic" w:hAnsi="Century Gothic" w:cs="Century Gothic"/>
          <w:sz w:val="18"/>
          <w:szCs w:val="18"/>
        </w:rPr>
        <w:t>La tabla 3 revela que la mayoría de los ser</w:t>
      </w:r>
      <w:r w:rsidR="000E6966">
        <w:rPr>
          <w:rFonts w:ascii="Century Gothic" w:eastAsia="Century Gothic" w:hAnsi="Century Gothic" w:cs="Century Gothic"/>
          <w:sz w:val="18"/>
          <w:szCs w:val="18"/>
        </w:rPr>
        <w:softHyphen/>
      </w:r>
      <w:r w:rsidRPr="00636956">
        <w:rPr>
          <w:rFonts w:ascii="Century Gothic" w:eastAsia="Century Gothic" w:hAnsi="Century Gothic" w:cs="Century Gothic"/>
          <w:sz w:val="18"/>
          <w:szCs w:val="18"/>
        </w:rPr>
        <w:t>vidores de la Intendencia perciben el trato igualitario hacia los contribuyentes como medio (92.5</w:t>
      </w:r>
      <w:r w:rsidRPr="001818DA">
        <w:rPr>
          <w:rFonts w:ascii="Century Gothic" w:eastAsia="Century Gothic" w:hAnsi="Century Gothic" w:cs="Century Gothic"/>
          <w:sz w:val="18"/>
          <w:szCs w:val="18"/>
        </w:rPr>
        <w:t>%), mientras que solo un 7.5% lo ve como alto. Estos resultados son consisten</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tes con otros estudios y sugieren la necesi</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 xml:space="preserve">dad de mejorar la aplicación del principio de trato igualitario. </w:t>
      </w:r>
      <w:r w:rsidR="00446B51" w:rsidRPr="001818DA">
        <w:rPr>
          <w:rFonts w:ascii="Century Gothic" w:eastAsia="Century Gothic" w:hAnsi="Century Gothic" w:cs="Century Gothic"/>
          <w:sz w:val="18"/>
          <w:szCs w:val="18"/>
        </w:rPr>
        <w:t>En relación con estos re</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 xml:space="preserve">sultados, el estudio de </w:t>
      </w:r>
      <w:r w:rsidR="007A44AA" w:rsidRPr="001818DA">
        <w:rPr>
          <w:rFonts w:ascii="Century Gothic" w:eastAsia="Century Gothic" w:hAnsi="Century Gothic" w:cs="Century Gothic"/>
          <w:sz w:val="18"/>
          <w:szCs w:val="18"/>
        </w:rPr>
        <w:t>Castañeda (2017</w:t>
      </w:r>
      <w:r w:rsidR="00661688" w:rsidRPr="001818DA">
        <w:rPr>
          <w:rFonts w:ascii="Century Gothic" w:eastAsia="Century Gothic" w:hAnsi="Century Gothic" w:cs="Century Gothic"/>
          <w:sz w:val="18"/>
          <w:szCs w:val="18"/>
        </w:rPr>
        <w:t>b) resalta</w:t>
      </w:r>
      <w:r w:rsidR="00446B51" w:rsidRPr="001818DA">
        <w:rPr>
          <w:rFonts w:ascii="Century Gothic" w:eastAsia="Century Gothic" w:hAnsi="Century Gothic" w:cs="Century Gothic"/>
          <w:sz w:val="18"/>
          <w:szCs w:val="18"/>
        </w:rPr>
        <w:t xml:space="preserve"> que la percepción de trato igualita</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rio entre los contribuyentes suele estar in</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fluida por la transparencia y uniformidad en los procedimientos administrativos. Según este estudio, las diferencias en el trato, es</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pecialmente hacia los pequeños y media</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nos contribuyentes, generan un sentimiento de desconfianza hacia las autoridades fis</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cales, lo que a su vez puede reducir la dis</w:t>
      </w:r>
      <w:r w:rsidR="000E6966">
        <w:rPr>
          <w:rFonts w:ascii="Century Gothic" w:eastAsia="Century Gothic" w:hAnsi="Century Gothic" w:cs="Century Gothic"/>
          <w:sz w:val="18"/>
          <w:szCs w:val="18"/>
        </w:rPr>
        <w:softHyphen/>
      </w:r>
      <w:r w:rsidR="00446B51" w:rsidRPr="001818DA">
        <w:rPr>
          <w:rFonts w:ascii="Century Gothic" w:eastAsia="Century Gothic" w:hAnsi="Century Gothic" w:cs="Century Gothic"/>
          <w:sz w:val="18"/>
          <w:szCs w:val="18"/>
        </w:rPr>
        <w:t>posición al cumplimiento tributario voluntario.</w:t>
      </w:r>
    </w:p>
    <w:p w14:paraId="7529EFBE" w14:textId="5BFF6888" w:rsidR="00011610" w:rsidRDefault="00446B51" w:rsidP="00636956">
      <w:pPr>
        <w:jc w:val="both"/>
        <w:rPr>
          <w:rFonts w:ascii="Century Gothic" w:eastAsia="Century Gothic" w:hAnsi="Century Gothic" w:cs="Century Gothic"/>
          <w:sz w:val="18"/>
          <w:szCs w:val="18"/>
        </w:rPr>
      </w:pPr>
      <w:r w:rsidRPr="001818DA">
        <w:rPr>
          <w:rFonts w:ascii="Century Gothic" w:eastAsia="Century Gothic" w:hAnsi="Century Gothic" w:cs="Century Gothic"/>
          <w:sz w:val="18"/>
          <w:szCs w:val="18"/>
        </w:rPr>
        <w:t>Asimismo, u</w:t>
      </w:r>
      <w:r w:rsidR="00636956" w:rsidRPr="001818DA">
        <w:rPr>
          <w:rFonts w:ascii="Century Gothic" w:eastAsia="Century Gothic" w:hAnsi="Century Gothic" w:cs="Century Gothic"/>
          <w:sz w:val="18"/>
          <w:szCs w:val="18"/>
        </w:rPr>
        <w:t xml:space="preserve">n informe de la </w:t>
      </w:r>
      <w:r w:rsidR="00636956" w:rsidRPr="00636956">
        <w:rPr>
          <w:rFonts w:ascii="Century Gothic" w:eastAsia="Century Gothic" w:hAnsi="Century Gothic" w:cs="Century Gothic"/>
          <w:sz w:val="18"/>
          <w:szCs w:val="18"/>
        </w:rPr>
        <w:t>Contraloría General de la República del Perú (2021) en</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 xml:space="preserve">contró que </w:t>
      </w:r>
      <w:r w:rsidR="00636956">
        <w:rPr>
          <w:rFonts w:ascii="Century Gothic" w:eastAsia="Century Gothic" w:hAnsi="Century Gothic" w:cs="Century Gothic"/>
          <w:sz w:val="18"/>
          <w:szCs w:val="18"/>
        </w:rPr>
        <w:t xml:space="preserve">la </w:t>
      </w:r>
      <w:r w:rsidR="009442F6">
        <w:rPr>
          <w:rFonts w:ascii="Century Gothic" w:eastAsia="Century Gothic" w:hAnsi="Century Gothic" w:cs="Century Gothic"/>
          <w:sz w:val="18"/>
          <w:szCs w:val="18"/>
        </w:rPr>
        <w:t>mayoría</w:t>
      </w:r>
      <w:r w:rsidR="00636956" w:rsidRPr="00636956">
        <w:rPr>
          <w:rFonts w:ascii="Century Gothic" w:eastAsia="Century Gothic" w:hAnsi="Century Gothic" w:cs="Century Gothic"/>
          <w:sz w:val="18"/>
          <w:szCs w:val="18"/>
        </w:rPr>
        <w:t xml:space="preserve"> de</w:t>
      </w:r>
      <w:r w:rsidR="00636956">
        <w:rPr>
          <w:rFonts w:ascii="Century Gothic" w:eastAsia="Century Gothic" w:hAnsi="Century Gothic" w:cs="Century Gothic"/>
          <w:sz w:val="18"/>
          <w:szCs w:val="18"/>
        </w:rPr>
        <w:t xml:space="preserve"> servidores de</w:t>
      </w:r>
      <w:r w:rsidR="00636956" w:rsidRPr="00636956">
        <w:rPr>
          <w:rFonts w:ascii="Century Gothic" w:eastAsia="Century Gothic" w:hAnsi="Century Gothic" w:cs="Century Gothic"/>
          <w:sz w:val="18"/>
          <w:szCs w:val="18"/>
        </w:rPr>
        <w:t xml:space="preserve"> di</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versas intendencias del país consideraban el trato igualitario como moderado, con una percepción similar respecto a la unifor</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midad en la aplicación de las leyes fiscales. Este informe subraya que, aunque existe un marco legal adecuado, su implementación presenta desafíos que afectan la percep</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ción de equidad entre los contribuyentes.</w:t>
      </w:r>
      <w:r w:rsidR="00636956">
        <w:rPr>
          <w:rFonts w:ascii="Century Gothic" w:eastAsia="Century Gothic" w:hAnsi="Century Gothic" w:cs="Century Gothic"/>
          <w:sz w:val="18"/>
          <w:szCs w:val="18"/>
        </w:rPr>
        <w:t xml:space="preserve"> </w:t>
      </w:r>
      <w:r w:rsidR="00636956" w:rsidRPr="00636956">
        <w:rPr>
          <w:rFonts w:ascii="Century Gothic" w:eastAsia="Century Gothic" w:hAnsi="Century Gothic" w:cs="Century Gothic"/>
          <w:sz w:val="18"/>
          <w:szCs w:val="18"/>
        </w:rPr>
        <w:t xml:space="preserve">Asimismo, un estudio </w:t>
      </w:r>
      <w:r w:rsidR="009442F6">
        <w:rPr>
          <w:rFonts w:ascii="Century Gothic" w:eastAsia="Century Gothic" w:hAnsi="Century Gothic" w:cs="Century Gothic"/>
          <w:sz w:val="18"/>
          <w:szCs w:val="18"/>
        </w:rPr>
        <w:t>internacional,</w:t>
      </w:r>
      <w:r w:rsidR="00636956" w:rsidRPr="00636956">
        <w:rPr>
          <w:rFonts w:ascii="Century Gothic" w:eastAsia="Century Gothic" w:hAnsi="Century Gothic" w:cs="Century Gothic"/>
          <w:sz w:val="18"/>
          <w:szCs w:val="18"/>
        </w:rPr>
        <w:t xml:space="preserve"> como el informe de la OCDE sobre justicia tributaria </w:t>
      </w:r>
      <w:r w:rsidR="00636956" w:rsidRPr="00636956">
        <w:rPr>
          <w:rFonts w:ascii="Century Gothic" w:eastAsia="Century Gothic" w:hAnsi="Century Gothic" w:cs="Century Gothic"/>
          <w:sz w:val="18"/>
          <w:szCs w:val="18"/>
        </w:rPr>
        <w:t xml:space="preserve">(2022), reflejan </w:t>
      </w:r>
      <w:r w:rsidR="009442F6" w:rsidRPr="00636956">
        <w:rPr>
          <w:rFonts w:ascii="Century Gothic" w:eastAsia="Century Gothic" w:hAnsi="Century Gothic" w:cs="Century Gothic"/>
          <w:sz w:val="18"/>
          <w:szCs w:val="18"/>
        </w:rPr>
        <w:t>que,</w:t>
      </w:r>
      <w:r w:rsidR="00636956" w:rsidRPr="00636956">
        <w:rPr>
          <w:rFonts w:ascii="Century Gothic" w:eastAsia="Century Gothic" w:hAnsi="Century Gothic" w:cs="Century Gothic"/>
          <w:sz w:val="18"/>
          <w:szCs w:val="18"/>
        </w:rPr>
        <w:t xml:space="preserve"> en varios países miem</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bros, aproximadamente un 85% de los en</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cuestados ve el trato igualitario como un área de mejora, destacando la necesidad de políticas más robustas y una administra</w:t>
      </w:r>
      <w:r w:rsidR="00A7625D">
        <w:rPr>
          <w:rFonts w:ascii="Century Gothic" w:eastAsia="Century Gothic" w:hAnsi="Century Gothic" w:cs="Century Gothic"/>
          <w:sz w:val="18"/>
          <w:szCs w:val="18"/>
        </w:rPr>
        <w:softHyphen/>
      </w:r>
      <w:r w:rsidR="00636956" w:rsidRPr="00636956">
        <w:rPr>
          <w:rFonts w:ascii="Century Gothic" w:eastAsia="Century Gothic" w:hAnsi="Century Gothic" w:cs="Century Gothic"/>
          <w:sz w:val="18"/>
          <w:szCs w:val="18"/>
        </w:rPr>
        <w:t>ción fiscal más transparente.</w:t>
      </w:r>
    </w:p>
    <w:p w14:paraId="63069B10" w14:textId="0F77A25C" w:rsidR="00011610" w:rsidRPr="00A7625D" w:rsidRDefault="00011610" w:rsidP="00555DA7">
      <w:pPr>
        <w:jc w:val="both"/>
        <w:rPr>
          <w:rFonts w:ascii="Century Gothic" w:eastAsia="Century Gothic" w:hAnsi="Century Gothic" w:cs="Century Gothic"/>
          <w:sz w:val="8"/>
          <w:szCs w:val="8"/>
        </w:rPr>
      </w:pPr>
    </w:p>
    <w:p w14:paraId="186AFB9E" w14:textId="1838F983" w:rsidR="009B5EEC" w:rsidRPr="00E43DCC" w:rsidRDefault="009B5EEC" w:rsidP="009B5EEC">
      <w:pPr>
        <w:jc w:val="both"/>
        <w:rPr>
          <w:rFonts w:ascii="Century Gothic" w:eastAsia="Century Gothic" w:hAnsi="Century Gothic" w:cs="Century Gothic"/>
          <w:b/>
          <w:sz w:val="14"/>
          <w:szCs w:val="14"/>
        </w:rPr>
      </w:pPr>
      <w:r w:rsidRPr="00E43DCC">
        <w:rPr>
          <w:rFonts w:ascii="Century Gothic" w:eastAsia="Century Gothic" w:hAnsi="Century Gothic" w:cs="Century Gothic"/>
          <w:b/>
          <w:sz w:val="14"/>
          <w:szCs w:val="14"/>
        </w:rPr>
        <w:t>Tabla 4</w:t>
      </w:r>
    </w:p>
    <w:p w14:paraId="0A1C20F4" w14:textId="103C7426" w:rsidR="009B5EEC" w:rsidRPr="00E43DCC" w:rsidRDefault="009B5EEC" w:rsidP="00720C40">
      <w:pPr>
        <w:jc w:val="both"/>
        <w:rPr>
          <w:rFonts w:ascii="Century Gothic" w:eastAsia="Century Gothic" w:hAnsi="Century Gothic" w:cs="Century Gothic"/>
          <w:sz w:val="14"/>
          <w:szCs w:val="14"/>
        </w:rPr>
      </w:pPr>
      <w:r w:rsidRPr="00E43DCC">
        <w:rPr>
          <w:rFonts w:ascii="Century Gothic" w:eastAsia="Century Gothic" w:hAnsi="Century Gothic" w:cs="Century Gothic"/>
          <w:sz w:val="14"/>
          <w:szCs w:val="14"/>
        </w:rPr>
        <w:t>Nivel de las dimensiones</w:t>
      </w:r>
    </w:p>
    <w:p w14:paraId="191BD51E" w14:textId="77777777" w:rsidR="001818DA" w:rsidRPr="001818DA" w:rsidRDefault="001818DA" w:rsidP="00720C40">
      <w:pPr>
        <w:jc w:val="both"/>
        <w:rPr>
          <w:rFonts w:ascii="Century Gothic" w:eastAsia="Century Gothic" w:hAnsi="Century Gothic" w:cs="Century Gothic"/>
          <w:sz w:val="8"/>
          <w:szCs w:val="8"/>
        </w:rPr>
      </w:pPr>
    </w:p>
    <w:tbl>
      <w:tblPr>
        <w:tblW w:w="5000" w:type="pct"/>
        <w:tblBorders>
          <w:top w:val="single" w:sz="4" w:space="0" w:color="auto"/>
          <w:bottom w:val="single" w:sz="4" w:space="0" w:color="auto"/>
        </w:tblBorders>
        <w:shd w:val="clear" w:color="auto" w:fill="CBD3DF"/>
        <w:tblCellMar>
          <w:left w:w="70" w:type="dxa"/>
          <w:right w:w="70" w:type="dxa"/>
        </w:tblCellMar>
        <w:tblLook w:val="04A0" w:firstRow="1" w:lastRow="0" w:firstColumn="1" w:lastColumn="0" w:noHBand="0" w:noVBand="1"/>
      </w:tblPr>
      <w:tblGrid>
        <w:gridCol w:w="576"/>
        <w:gridCol w:w="413"/>
        <w:gridCol w:w="544"/>
        <w:gridCol w:w="544"/>
        <w:gridCol w:w="546"/>
        <w:gridCol w:w="599"/>
        <w:gridCol w:w="599"/>
      </w:tblGrid>
      <w:tr w:rsidR="009B5EEC" w:rsidRPr="001818DA" w14:paraId="29561B2D" w14:textId="77777777" w:rsidTr="001818DA">
        <w:trPr>
          <w:trHeight w:val="130"/>
        </w:trPr>
        <w:tc>
          <w:tcPr>
            <w:tcW w:w="735" w:type="pct"/>
            <w:vMerge w:val="restart"/>
            <w:tcBorders>
              <w:top w:val="single" w:sz="4" w:space="0" w:color="auto"/>
              <w:bottom w:val="nil"/>
            </w:tcBorders>
            <w:shd w:val="clear" w:color="auto" w:fill="CBD3DF"/>
            <w:vAlign w:val="center"/>
            <w:hideMark/>
          </w:tcPr>
          <w:p w14:paraId="30A221BC" w14:textId="77777777" w:rsidR="009B5EEC" w:rsidRPr="001818DA" w:rsidRDefault="009B5EEC" w:rsidP="001818DA">
            <w:pPr>
              <w:rPr>
                <w:rFonts w:ascii="Century Gothic" w:hAnsi="Century Gothic"/>
                <w:color w:val="000000"/>
                <w:sz w:val="14"/>
                <w:szCs w:val="14"/>
                <w:lang w:eastAsia="es-PE"/>
              </w:rPr>
            </w:pPr>
            <w:r w:rsidRPr="001818DA">
              <w:rPr>
                <w:rFonts w:ascii="Century Gothic" w:hAnsi="Century Gothic"/>
                <w:color w:val="000000"/>
                <w:sz w:val="14"/>
                <w:szCs w:val="14"/>
                <w:lang w:eastAsia="es-PE"/>
              </w:rPr>
              <w:t xml:space="preserve">Nivel </w:t>
            </w:r>
          </w:p>
        </w:tc>
        <w:tc>
          <w:tcPr>
            <w:tcW w:w="1306" w:type="pct"/>
            <w:gridSpan w:val="2"/>
            <w:tcBorders>
              <w:top w:val="single" w:sz="4" w:space="0" w:color="auto"/>
              <w:bottom w:val="single" w:sz="4" w:space="0" w:color="auto"/>
            </w:tcBorders>
            <w:shd w:val="clear" w:color="auto" w:fill="CBD3DF"/>
            <w:vAlign w:val="center"/>
            <w:hideMark/>
          </w:tcPr>
          <w:p w14:paraId="56F50023" w14:textId="49E7A64A" w:rsidR="009B5EEC" w:rsidRPr="001818DA" w:rsidRDefault="009B5EEC" w:rsidP="001818DA">
            <w:pPr>
              <w:ind w:left="-63"/>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 xml:space="preserve"> posición justa y equitativa de impuestos</w:t>
            </w:r>
          </w:p>
        </w:tc>
        <w:tc>
          <w:tcPr>
            <w:tcW w:w="1480" w:type="pct"/>
            <w:gridSpan w:val="2"/>
            <w:tcBorders>
              <w:top w:val="single" w:sz="4" w:space="0" w:color="auto"/>
              <w:bottom w:val="single" w:sz="4" w:space="0" w:color="auto"/>
            </w:tcBorders>
            <w:shd w:val="clear" w:color="auto" w:fill="CBD3DF"/>
          </w:tcPr>
          <w:p w14:paraId="10132C90"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Equidad y justa distribución de la carga fiscal</w:t>
            </w:r>
          </w:p>
        </w:tc>
        <w:tc>
          <w:tcPr>
            <w:tcW w:w="1480" w:type="pct"/>
            <w:gridSpan w:val="2"/>
            <w:tcBorders>
              <w:top w:val="single" w:sz="4" w:space="0" w:color="auto"/>
              <w:bottom w:val="single" w:sz="4" w:space="0" w:color="auto"/>
            </w:tcBorders>
            <w:shd w:val="clear" w:color="auto" w:fill="CBD3DF"/>
          </w:tcPr>
          <w:p w14:paraId="4AA14EBA"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Fortalecimiento de la confianza en el sistema tributario</w:t>
            </w:r>
          </w:p>
        </w:tc>
      </w:tr>
      <w:tr w:rsidR="009B5EEC" w:rsidRPr="001818DA" w14:paraId="66976C6A" w14:textId="77777777" w:rsidTr="001818DA">
        <w:trPr>
          <w:trHeight w:val="139"/>
        </w:trPr>
        <w:tc>
          <w:tcPr>
            <w:tcW w:w="735" w:type="pct"/>
            <w:vMerge/>
            <w:tcBorders>
              <w:top w:val="nil"/>
              <w:bottom w:val="single" w:sz="4" w:space="0" w:color="auto"/>
            </w:tcBorders>
            <w:shd w:val="clear" w:color="auto" w:fill="CBD3DF"/>
            <w:vAlign w:val="center"/>
          </w:tcPr>
          <w:p w14:paraId="675D4C83" w14:textId="77777777" w:rsidR="009B5EEC" w:rsidRPr="001818DA" w:rsidRDefault="009B5EEC" w:rsidP="001818DA">
            <w:pPr>
              <w:jc w:val="center"/>
              <w:rPr>
                <w:rFonts w:ascii="Century Gothic" w:hAnsi="Century Gothic"/>
                <w:color w:val="000000"/>
                <w:sz w:val="14"/>
                <w:szCs w:val="14"/>
                <w:lang w:eastAsia="es-PE"/>
              </w:rPr>
            </w:pPr>
          </w:p>
        </w:tc>
        <w:tc>
          <w:tcPr>
            <w:tcW w:w="568" w:type="pct"/>
            <w:tcBorders>
              <w:top w:val="single" w:sz="4" w:space="0" w:color="auto"/>
              <w:bottom w:val="single" w:sz="4" w:space="0" w:color="auto"/>
            </w:tcBorders>
            <w:shd w:val="clear" w:color="auto" w:fill="CBD3DF"/>
            <w:vAlign w:val="center"/>
          </w:tcPr>
          <w:p w14:paraId="014D1C27"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(f)</w:t>
            </w:r>
          </w:p>
        </w:tc>
        <w:tc>
          <w:tcPr>
            <w:tcW w:w="739" w:type="pct"/>
            <w:tcBorders>
              <w:top w:val="single" w:sz="4" w:space="0" w:color="auto"/>
              <w:bottom w:val="single" w:sz="4" w:space="0" w:color="auto"/>
            </w:tcBorders>
            <w:shd w:val="clear" w:color="auto" w:fill="CBD3DF"/>
          </w:tcPr>
          <w:p w14:paraId="063DC07D"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w:t>
            </w:r>
          </w:p>
        </w:tc>
        <w:tc>
          <w:tcPr>
            <w:tcW w:w="739" w:type="pct"/>
            <w:tcBorders>
              <w:top w:val="single" w:sz="4" w:space="0" w:color="auto"/>
              <w:bottom w:val="single" w:sz="4" w:space="0" w:color="auto"/>
            </w:tcBorders>
            <w:shd w:val="clear" w:color="auto" w:fill="CBD3DF"/>
            <w:vAlign w:val="center"/>
          </w:tcPr>
          <w:p w14:paraId="0A0E375C"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(f)</w:t>
            </w:r>
          </w:p>
        </w:tc>
        <w:tc>
          <w:tcPr>
            <w:tcW w:w="741" w:type="pct"/>
            <w:tcBorders>
              <w:top w:val="single" w:sz="4" w:space="0" w:color="auto"/>
              <w:bottom w:val="single" w:sz="4" w:space="0" w:color="auto"/>
            </w:tcBorders>
            <w:shd w:val="clear" w:color="auto" w:fill="CBD3DF"/>
          </w:tcPr>
          <w:p w14:paraId="5E6E6905"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w:t>
            </w:r>
          </w:p>
        </w:tc>
        <w:tc>
          <w:tcPr>
            <w:tcW w:w="739" w:type="pct"/>
            <w:tcBorders>
              <w:top w:val="single" w:sz="4" w:space="0" w:color="auto"/>
              <w:bottom w:val="single" w:sz="4" w:space="0" w:color="auto"/>
            </w:tcBorders>
            <w:shd w:val="clear" w:color="auto" w:fill="CBD3DF"/>
            <w:vAlign w:val="center"/>
          </w:tcPr>
          <w:p w14:paraId="4CBFBFE9"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(f)</w:t>
            </w:r>
          </w:p>
        </w:tc>
        <w:tc>
          <w:tcPr>
            <w:tcW w:w="741" w:type="pct"/>
            <w:tcBorders>
              <w:top w:val="single" w:sz="4" w:space="0" w:color="auto"/>
              <w:bottom w:val="single" w:sz="4" w:space="0" w:color="auto"/>
            </w:tcBorders>
            <w:shd w:val="clear" w:color="auto" w:fill="CBD3DF"/>
          </w:tcPr>
          <w:p w14:paraId="73322A8E"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color w:val="000000"/>
                <w:sz w:val="14"/>
                <w:szCs w:val="14"/>
                <w:lang w:eastAsia="es-PE"/>
              </w:rPr>
              <w:t>(%)</w:t>
            </w:r>
          </w:p>
        </w:tc>
      </w:tr>
      <w:tr w:rsidR="009B5EEC" w:rsidRPr="001818DA" w14:paraId="29A4A8A4" w14:textId="77777777" w:rsidTr="001818DA">
        <w:trPr>
          <w:trHeight w:val="115"/>
        </w:trPr>
        <w:tc>
          <w:tcPr>
            <w:tcW w:w="735" w:type="pct"/>
            <w:tcBorders>
              <w:top w:val="single" w:sz="4" w:space="0" w:color="auto"/>
            </w:tcBorders>
            <w:shd w:val="clear" w:color="auto" w:fill="CBD3DF"/>
            <w:vAlign w:val="center"/>
            <w:hideMark/>
          </w:tcPr>
          <w:p w14:paraId="5A270ED3" w14:textId="77777777" w:rsidR="009B5EEC" w:rsidRPr="001818DA" w:rsidRDefault="009B5EEC" w:rsidP="001818DA">
            <w:pPr>
              <w:rPr>
                <w:rFonts w:ascii="Century Gothic" w:hAnsi="Century Gothic"/>
                <w:color w:val="000000"/>
                <w:sz w:val="14"/>
                <w:szCs w:val="14"/>
                <w:lang w:eastAsia="es-PE"/>
              </w:rPr>
            </w:pPr>
            <w:r w:rsidRPr="001818DA">
              <w:rPr>
                <w:rFonts w:ascii="Century Gothic" w:hAnsi="Century Gothic"/>
                <w:color w:val="000000"/>
                <w:sz w:val="14"/>
                <w:szCs w:val="14"/>
                <w:lang w:eastAsia="es-PE"/>
              </w:rPr>
              <w:t>Bajo</w:t>
            </w:r>
          </w:p>
        </w:tc>
        <w:tc>
          <w:tcPr>
            <w:tcW w:w="568" w:type="pct"/>
            <w:tcBorders>
              <w:top w:val="single" w:sz="4" w:space="0" w:color="auto"/>
            </w:tcBorders>
            <w:shd w:val="clear" w:color="auto" w:fill="CBD3DF"/>
            <w:noWrap/>
            <w:hideMark/>
          </w:tcPr>
          <w:p w14:paraId="27709935"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39" w:type="pct"/>
            <w:tcBorders>
              <w:top w:val="single" w:sz="4" w:space="0" w:color="auto"/>
            </w:tcBorders>
            <w:shd w:val="clear" w:color="auto" w:fill="CBD3DF"/>
          </w:tcPr>
          <w:p w14:paraId="25B256F4"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39" w:type="pct"/>
            <w:tcBorders>
              <w:top w:val="single" w:sz="4" w:space="0" w:color="auto"/>
            </w:tcBorders>
            <w:shd w:val="clear" w:color="auto" w:fill="CBD3DF"/>
          </w:tcPr>
          <w:p w14:paraId="45BE9A2B"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41" w:type="pct"/>
            <w:tcBorders>
              <w:top w:val="single" w:sz="4" w:space="0" w:color="auto"/>
            </w:tcBorders>
            <w:shd w:val="clear" w:color="auto" w:fill="CBD3DF"/>
          </w:tcPr>
          <w:p w14:paraId="3C2D410F"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39" w:type="pct"/>
            <w:tcBorders>
              <w:top w:val="single" w:sz="4" w:space="0" w:color="auto"/>
            </w:tcBorders>
            <w:shd w:val="clear" w:color="auto" w:fill="CBD3DF"/>
          </w:tcPr>
          <w:p w14:paraId="2F25A355"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41" w:type="pct"/>
            <w:tcBorders>
              <w:top w:val="single" w:sz="4" w:space="0" w:color="auto"/>
            </w:tcBorders>
            <w:shd w:val="clear" w:color="auto" w:fill="CBD3DF"/>
          </w:tcPr>
          <w:p w14:paraId="51F7C746"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r>
      <w:tr w:rsidR="009B5EEC" w:rsidRPr="001818DA" w14:paraId="519AC086" w14:textId="77777777" w:rsidTr="001818DA">
        <w:trPr>
          <w:trHeight w:val="75"/>
        </w:trPr>
        <w:tc>
          <w:tcPr>
            <w:tcW w:w="735" w:type="pct"/>
            <w:shd w:val="clear" w:color="auto" w:fill="CBD3DF"/>
            <w:vAlign w:val="center"/>
            <w:hideMark/>
          </w:tcPr>
          <w:p w14:paraId="2CE657BF" w14:textId="77777777" w:rsidR="009B5EEC" w:rsidRPr="001818DA" w:rsidRDefault="009B5EEC" w:rsidP="001818DA">
            <w:pPr>
              <w:rPr>
                <w:rFonts w:ascii="Century Gothic" w:hAnsi="Century Gothic"/>
                <w:color w:val="000000"/>
                <w:sz w:val="14"/>
                <w:szCs w:val="14"/>
                <w:lang w:eastAsia="es-PE"/>
              </w:rPr>
            </w:pPr>
            <w:r w:rsidRPr="001818DA">
              <w:rPr>
                <w:rFonts w:ascii="Century Gothic" w:hAnsi="Century Gothic"/>
                <w:color w:val="000000"/>
                <w:sz w:val="14"/>
                <w:szCs w:val="14"/>
                <w:lang w:eastAsia="es-PE"/>
              </w:rPr>
              <w:t>Medio</w:t>
            </w:r>
          </w:p>
        </w:tc>
        <w:tc>
          <w:tcPr>
            <w:tcW w:w="568" w:type="pct"/>
            <w:shd w:val="clear" w:color="auto" w:fill="CBD3DF"/>
            <w:noWrap/>
            <w:hideMark/>
          </w:tcPr>
          <w:p w14:paraId="1BC10EC2"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62</w:t>
            </w:r>
          </w:p>
        </w:tc>
        <w:tc>
          <w:tcPr>
            <w:tcW w:w="739" w:type="pct"/>
            <w:shd w:val="clear" w:color="auto" w:fill="CBD3DF"/>
          </w:tcPr>
          <w:p w14:paraId="585FF02F"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92,5</w:t>
            </w:r>
          </w:p>
        </w:tc>
        <w:tc>
          <w:tcPr>
            <w:tcW w:w="739" w:type="pct"/>
            <w:shd w:val="clear" w:color="auto" w:fill="CBD3DF"/>
          </w:tcPr>
          <w:p w14:paraId="738E0E64"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62</w:t>
            </w:r>
          </w:p>
        </w:tc>
        <w:tc>
          <w:tcPr>
            <w:tcW w:w="741" w:type="pct"/>
            <w:shd w:val="clear" w:color="auto" w:fill="CBD3DF"/>
          </w:tcPr>
          <w:p w14:paraId="2BCB11EF"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92,5</w:t>
            </w:r>
          </w:p>
        </w:tc>
        <w:tc>
          <w:tcPr>
            <w:tcW w:w="739" w:type="pct"/>
            <w:shd w:val="clear" w:color="auto" w:fill="CBD3DF"/>
          </w:tcPr>
          <w:p w14:paraId="287BBE30"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67</w:t>
            </w:r>
          </w:p>
        </w:tc>
        <w:tc>
          <w:tcPr>
            <w:tcW w:w="741" w:type="pct"/>
            <w:shd w:val="clear" w:color="auto" w:fill="CBD3DF"/>
          </w:tcPr>
          <w:p w14:paraId="2E3C1267"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100,0</w:t>
            </w:r>
          </w:p>
        </w:tc>
      </w:tr>
      <w:tr w:rsidR="009B5EEC" w:rsidRPr="001818DA" w14:paraId="15249637" w14:textId="77777777" w:rsidTr="001818DA">
        <w:trPr>
          <w:trHeight w:val="75"/>
        </w:trPr>
        <w:tc>
          <w:tcPr>
            <w:tcW w:w="735" w:type="pct"/>
            <w:shd w:val="clear" w:color="auto" w:fill="CBD3DF"/>
            <w:vAlign w:val="center"/>
            <w:hideMark/>
          </w:tcPr>
          <w:p w14:paraId="38D8BCFB" w14:textId="77777777" w:rsidR="009B5EEC" w:rsidRPr="001818DA" w:rsidRDefault="009B5EEC" w:rsidP="001818DA">
            <w:pPr>
              <w:rPr>
                <w:rFonts w:ascii="Century Gothic" w:hAnsi="Century Gothic"/>
                <w:color w:val="000000"/>
                <w:sz w:val="14"/>
                <w:szCs w:val="14"/>
                <w:lang w:eastAsia="es-PE"/>
              </w:rPr>
            </w:pPr>
            <w:r w:rsidRPr="001818DA">
              <w:rPr>
                <w:rFonts w:ascii="Century Gothic" w:hAnsi="Century Gothic"/>
                <w:color w:val="000000"/>
                <w:sz w:val="14"/>
                <w:szCs w:val="14"/>
                <w:lang w:eastAsia="es-PE"/>
              </w:rPr>
              <w:t>Alto</w:t>
            </w:r>
          </w:p>
        </w:tc>
        <w:tc>
          <w:tcPr>
            <w:tcW w:w="568" w:type="pct"/>
            <w:shd w:val="clear" w:color="auto" w:fill="CBD3DF"/>
            <w:noWrap/>
          </w:tcPr>
          <w:p w14:paraId="6DD6BD07"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5</w:t>
            </w:r>
          </w:p>
        </w:tc>
        <w:tc>
          <w:tcPr>
            <w:tcW w:w="739" w:type="pct"/>
            <w:shd w:val="clear" w:color="auto" w:fill="CBD3DF"/>
          </w:tcPr>
          <w:p w14:paraId="621E9932"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7,5</w:t>
            </w:r>
          </w:p>
        </w:tc>
        <w:tc>
          <w:tcPr>
            <w:tcW w:w="739" w:type="pct"/>
            <w:shd w:val="clear" w:color="auto" w:fill="CBD3DF"/>
          </w:tcPr>
          <w:p w14:paraId="4AE8037B"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5</w:t>
            </w:r>
          </w:p>
        </w:tc>
        <w:tc>
          <w:tcPr>
            <w:tcW w:w="741" w:type="pct"/>
            <w:shd w:val="clear" w:color="auto" w:fill="CBD3DF"/>
          </w:tcPr>
          <w:p w14:paraId="41DA6A3D"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7,5</w:t>
            </w:r>
          </w:p>
        </w:tc>
        <w:tc>
          <w:tcPr>
            <w:tcW w:w="739" w:type="pct"/>
            <w:shd w:val="clear" w:color="auto" w:fill="CBD3DF"/>
          </w:tcPr>
          <w:p w14:paraId="732A76DB"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c>
          <w:tcPr>
            <w:tcW w:w="741" w:type="pct"/>
            <w:shd w:val="clear" w:color="auto" w:fill="CBD3DF"/>
          </w:tcPr>
          <w:p w14:paraId="3F1EA173"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0</w:t>
            </w:r>
          </w:p>
        </w:tc>
      </w:tr>
      <w:tr w:rsidR="009B5EEC" w:rsidRPr="001818DA" w14:paraId="42196016" w14:textId="77777777" w:rsidTr="001818DA">
        <w:trPr>
          <w:trHeight w:val="94"/>
        </w:trPr>
        <w:tc>
          <w:tcPr>
            <w:tcW w:w="735" w:type="pct"/>
            <w:shd w:val="clear" w:color="auto" w:fill="CBD3DF"/>
            <w:vAlign w:val="center"/>
          </w:tcPr>
          <w:p w14:paraId="37A382DD" w14:textId="77777777" w:rsidR="009B5EEC" w:rsidRPr="001818DA" w:rsidRDefault="009B5EEC" w:rsidP="001818DA">
            <w:pPr>
              <w:rPr>
                <w:rFonts w:ascii="Century Gothic" w:hAnsi="Century Gothic"/>
                <w:color w:val="000000"/>
                <w:sz w:val="14"/>
                <w:szCs w:val="14"/>
                <w:lang w:eastAsia="es-PE"/>
              </w:rPr>
            </w:pPr>
            <w:r w:rsidRPr="001818DA">
              <w:rPr>
                <w:rFonts w:ascii="Century Gothic" w:hAnsi="Century Gothic"/>
                <w:color w:val="000000"/>
                <w:sz w:val="14"/>
                <w:szCs w:val="14"/>
                <w:lang w:eastAsia="es-PE"/>
              </w:rPr>
              <w:t>Total</w:t>
            </w:r>
          </w:p>
        </w:tc>
        <w:tc>
          <w:tcPr>
            <w:tcW w:w="568" w:type="pct"/>
            <w:shd w:val="clear" w:color="auto" w:fill="CBD3DF"/>
            <w:noWrap/>
          </w:tcPr>
          <w:p w14:paraId="16E02BAF"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67</w:t>
            </w:r>
          </w:p>
        </w:tc>
        <w:tc>
          <w:tcPr>
            <w:tcW w:w="739" w:type="pct"/>
            <w:shd w:val="clear" w:color="auto" w:fill="CBD3DF"/>
          </w:tcPr>
          <w:p w14:paraId="30F8926C"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100,0</w:t>
            </w:r>
          </w:p>
        </w:tc>
        <w:tc>
          <w:tcPr>
            <w:tcW w:w="739" w:type="pct"/>
            <w:shd w:val="clear" w:color="auto" w:fill="CBD3DF"/>
          </w:tcPr>
          <w:p w14:paraId="4B15F567"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67</w:t>
            </w:r>
          </w:p>
        </w:tc>
        <w:tc>
          <w:tcPr>
            <w:tcW w:w="741" w:type="pct"/>
            <w:shd w:val="clear" w:color="auto" w:fill="CBD3DF"/>
          </w:tcPr>
          <w:p w14:paraId="247444CA"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100,0</w:t>
            </w:r>
          </w:p>
        </w:tc>
        <w:tc>
          <w:tcPr>
            <w:tcW w:w="739" w:type="pct"/>
            <w:shd w:val="clear" w:color="auto" w:fill="CBD3DF"/>
          </w:tcPr>
          <w:p w14:paraId="1B7FC117"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67</w:t>
            </w:r>
          </w:p>
        </w:tc>
        <w:tc>
          <w:tcPr>
            <w:tcW w:w="741" w:type="pct"/>
            <w:shd w:val="clear" w:color="auto" w:fill="CBD3DF"/>
          </w:tcPr>
          <w:p w14:paraId="0F1F62AE" w14:textId="77777777" w:rsidR="009B5EEC" w:rsidRPr="001818DA" w:rsidRDefault="009B5EEC" w:rsidP="001818DA">
            <w:pPr>
              <w:jc w:val="center"/>
              <w:rPr>
                <w:rFonts w:ascii="Century Gothic" w:hAnsi="Century Gothic"/>
                <w:color w:val="000000"/>
                <w:sz w:val="14"/>
                <w:szCs w:val="14"/>
                <w:lang w:eastAsia="es-PE"/>
              </w:rPr>
            </w:pPr>
            <w:r w:rsidRPr="001818DA">
              <w:rPr>
                <w:rFonts w:ascii="Century Gothic" w:hAnsi="Century Gothic"/>
                <w:sz w:val="14"/>
                <w:szCs w:val="14"/>
              </w:rPr>
              <w:t>100,0</w:t>
            </w:r>
          </w:p>
        </w:tc>
      </w:tr>
    </w:tbl>
    <w:p w14:paraId="5EE3EEA8" w14:textId="77777777" w:rsidR="009B5EEC" w:rsidRPr="00A7625D" w:rsidRDefault="009B5EEC" w:rsidP="00720C40">
      <w:pPr>
        <w:jc w:val="both"/>
        <w:rPr>
          <w:rFonts w:ascii="Century Gothic" w:eastAsia="Century Gothic" w:hAnsi="Century Gothic" w:cs="Century Gothic"/>
          <w:sz w:val="8"/>
          <w:szCs w:val="8"/>
        </w:rPr>
      </w:pPr>
    </w:p>
    <w:p w14:paraId="78AAB05E" w14:textId="42CDBD41" w:rsidR="009B5EEC" w:rsidRPr="001818DA" w:rsidRDefault="00361674" w:rsidP="00720C40">
      <w:pPr>
        <w:jc w:val="both"/>
        <w:rPr>
          <w:rFonts w:ascii="Century Gothic" w:eastAsia="Century Gothic" w:hAnsi="Century Gothic" w:cs="Century Gothic"/>
          <w:sz w:val="18"/>
          <w:szCs w:val="18"/>
        </w:rPr>
      </w:pPr>
      <w:r w:rsidRPr="00361674">
        <w:rPr>
          <w:rFonts w:ascii="Century Gothic" w:eastAsia="Century Gothic" w:hAnsi="Century Gothic" w:cs="Century Gothic"/>
          <w:sz w:val="18"/>
          <w:szCs w:val="18"/>
        </w:rPr>
        <w:t xml:space="preserve">La tabla </w:t>
      </w:r>
      <w:r>
        <w:rPr>
          <w:rFonts w:ascii="Century Gothic" w:eastAsia="Century Gothic" w:hAnsi="Century Gothic" w:cs="Century Gothic"/>
          <w:sz w:val="18"/>
          <w:szCs w:val="18"/>
        </w:rPr>
        <w:t>4</w:t>
      </w:r>
      <w:r w:rsidRPr="00361674">
        <w:rPr>
          <w:rFonts w:ascii="Century Gothic" w:eastAsia="Century Gothic" w:hAnsi="Century Gothic" w:cs="Century Gothic"/>
          <w:sz w:val="18"/>
          <w:szCs w:val="18"/>
        </w:rPr>
        <w:t xml:space="preserve"> muestra que la mayoría de los ser</w:t>
      </w:r>
      <w:r w:rsidR="000E6966">
        <w:rPr>
          <w:rFonts w:ascii="Century Gothic" w:eastAsia="Century Gothic" w:hAnsi="Century Gothic" w:cs="Century Gothic"/>
          <w:sz w:val="18"/>
          <w:szCs w:val="18"/>
        </w:rPr>
        <w:softHyphen/>
      </w:r>
      <w:r w:rsidRPr="00361674">
        <w:rPr>
          <w:rFonts w:ascii="Century Gothic" w:eastAsia="Century Gothic" w:hAnsi="Century Gothic" w:cs="Century Gothic"/>
          <w:sz w:val="18"/>
          <w:szCs w:val="18"/>
        </w:rPr>
        <w:t xml:space="preserve">vidores públicos de </w:t>
      </w:r>
      <w:r>
        <w:rPr>
          <w:rFonts w:ascii="Century Gothic" w:eastAsia="Century Gothic" w:hAnsi="Century Gothic" w:cs="Century Gothic"/>
          <w:sz w:val="18"/>
          <w:szCs w:val="18"/>
        </w:rPr>
        <w:t>la Intendencia</w:t>
      </w:r>
      <w:r w:rsidRPr="00361674">
        <w:rPr>
          <w:rFonts w:ascii="Century Gothic" w:eastAsia="Century Gothic" w:hAnsi="Century Gothic" w:cs="Century Gothic"/>
          <w:sz w:val="18"/>
          <w:szCs w:val="18"/>
        </w:rPr>
        <w:t xml:space="preserve"> califican la imposición y la distribución de impuestos como justas y equitativas en un nivel medio (92.5%), con solo un 7.5% viéndolas como al</w:t>
      </w:r>
      <w:r w:rsidR="000E6966">
        <w:rPr>
          <w:rFonts w:ascii="Century Gothic" w:eastAsia="Century Gothic" w:hAnsi="Century Gothic" w:cs="Century Gothic"/>
          <w:sz w:val="18"/>
          <w:szCs w:val="18"/>
        </w:rPr>
        <w:softHyphen/>
      </w:r>
      <w:r w:rsidRPr="00361674">
        <w:rPr>
          <w:rFonts w:ascii="Century Gothic" w:eastAsia="Century Gothic" w:hAnsi="Century Gothic" w:cs="Century Gothic"/>
          <w:sz w:val="18"/>
          <w:szCs w:val="18"/>
        </w:rPr>
        <w:t xml:space="preserve">tamente justas. En cuanto al fortalecimiento de la confianza en el </w:t>
      </w:r>
      <w:r w:rsidRPr="001818DA">
        <w:rPr>
          <w:rFonts w:ascii="Century Gothic" w:eastAsia="Century Gothic" w:hAnsi="Century Gothic" w:cs="Century Gothic"/>
          <w:sz w:val="18"/>
          <w:szCs w:val="18"/>
        </w:rPr>
        <w:t>sistema tributario, todos los encuestados (100%) lo perciben en un nivel medio.</w:t>
      </w:r>
    </w:p>
    <w:p w14:paraId="6DBF11B2" w14:textId="2E586E94" w:rsidR="00446B51" w:rsidRPr="001818DA" w:rsidRDefault="00446B51" w:rsidP="00446B51">
      <w:pPr>
        <w:jc w:val="both"/>
        <w:rPr>
          <w:rFonts w:ascii="Century Gothic" w:eastAsia="Century Gothic" w:hAnsi="Century Gothic" w:cs="Century Gothic"/>
          <w:sz w:val="18"/>
          <w:szCs w:val="18"/>
        </w:rPr>
      </w:pPr>
      <w:r w:rsidRPr="001818DA">
        <w:rPr>
          <w:rFonts w:ascii="Century Gothic" w:eastAsia="Century Gothic" w:hAnsi="Century Gothic" w:cs="Century Gothic"/>
          <w:sz w:val="18"/>
          <w:szCs w:val="18"/>
        </w:rPr>
        <w:t xml:space="preserve">En este contexto, </w:t>
      </w:r>
      <w:r w:rsidR="00C5452E" w:rsidRPr="001818DA">
        <w:rPr>
          <w:rFonts w:ascii="Century Gothic" w:eastAsia="Century Gothic" w:hAnsi="Century Gothic" w:cs="Century Gothic"/>
          <w:sz w:val="18"/>
          <w:szCs w:val="18"/>
        </w:rPr>
        <w:t xml:space="preserve">en </w:t>
      </w:r>
      <w:r w:rsidRPr="001818DA">
        <w:rPr>
          <w:rFonts w:ascii="Century Gothic" w:eastAsia="Century Gothic" w:hAnsi="Century Gothic" w:cs="Century Gothic"/>
          <w:sz w:val="18"/>
          <w:szCs w:val="18"/>
        </w:rPr>
        <w:t xml:space="preserve">el estudio de </w:t>
      </w:r>
      <w:r w:rsidR="00661688" w:rsidRPr="001818DA">
        <w:rPr>
          <w:rFonts w:ascii="Century Gothic" w:eastAsia="Century Gothic" w:hAnsi="Century Gothic" w:cs="Century Gothic"/>
          <w:sz w:val="18"/>
          <w:szCs w:val="18"/>
        </w:rPr>
        <w:t xml:space="preserve">Magin et al. (2020) se </w:t>
      </w:r>
      <w:r w:rsidR="00C5452E" w:rsidRPr="001818DA">
        <w:rPr>
          <w:rFonts w:ascii="Century Gothic" w:eastAsia="Century Gothic" w:hAnsi="Century Gothic" w:cs="Century Gothic"/>
          <w:sz w:val="18"/>
          <w:szCs w:val="18"/>
        </w:rPr>
        <w:t>explica que</w:t>
      </w:r>
      <w:r w:rsidRPr="001818DA">
        <w:rPr>
          <w:rFonts w:ascii="Century Gothic" w:eastAsia="Century Gothic" w:hAnsi="Century Gothic" w:cs="Century Gothic"/>
          <w:sz w:val="18"/>
          <w:szCs w:val="18"/>
        </w:rPr>
        <w:t xml:space="preserve">, </w:t>
      </w:r>
      <w:r w:rsidR="00C5452E" w:rsidRPr="001818DA">
        <w:rPr>
          <w:rFonts w:ascii="Century Gothic" w:eastAsia="Century Gothic" w:hAnsi="Century Gothic" w:cs="Century Gothic"/>
          <w:sz w:val="18"/>
          <w:szCs w:val="18"/>
        </w:rPr>
        <w:t>que la percepción de justicia en los impuestos depende de la transparencia en la aplicación de las nor</w:t>
      </w:r>
      <w:r w:rsidR="000E6966">
        <w:rPr>
          <w:rFonts w:ascii="Century Gothic" w:eastAsia="Century Gothic" w:hAnsi="Century Gothic" w:cs="Century Gothic"/>
          <w:sz w:val="18"/>
          <w:szCs w:val="18"/>
        </w:rPr>
        <w:softHyphen/>
      </w:r>
      <w:r w:rsidR="00C5452E" w:rsidRPr="001818DA">
        <w:rPr>
          <w:rFonts w:ascii="Century Gothic" w:eastAsia="Century Gothic" w:hAnsi="Century Gothic" w:cs="Century Gothic"/>
          <w:sz w:val="18"/>
          <w:szCs w:val="18"/>
        </w:rPr>
        <w:t>mas fiscales y la equidad en la distribución de la carga tributaria, independientemente de la capacidad económica. Una percep</w:t>
      </w:r>
      <w:r w:rsidR="000E6966">
        <w:rPr>
          <w:rFonts w:ascii="Century Gothic" w:eastAsia="Century Gothic" w:hAnsi="Century Gothic" w:cs="Century Gothic"/>
          <w:sz w:val="18"/>
          <w:szCs w:val="18"/>
        </w:rPr>
        <w:softHyphen/>
      </w:r>
      <w:r w:rsidR="00C5452E" w:rsidRPr="001818DA">
        <w:rPr>
          <w:rFonts w:ascii="Century Gothic" w:eastAsia="Century Gothic" w:hAnsi="Century Gothic" w:cs="Century Gothic"/>
          <w:sz w:val="18"/>
          <w:szCs w:val="18"/>
        </w:rPr>
        <w:t>ción moderada refleja posibles inconsisten</w:t>
      </w:r>
      <w:r w:rsidR="000E6966">
        <w:rPr>
          <w:rFonts w:ascii="Century Gothic" w:eastAsia="Century Gothic" w:hAnsi="Century Gothic" w:cs="Century Gothic"/>
          <w:sz w:val="18"/>
          <w:szCs w:val="18"/>
        </w:rPr>
        <w:softHyphen/>
      </w:r>
      <w:r w:rsidR="00C5452E" w:rsidRPr="001818DA">
        <w:rPr>
          <w:rFonts w:ascii="Century Gothic" w:eastAsia="Century Gothic" w:hAnsi="Century Gothic" w:cs="Century Gothic"/>
          <w:sz w:val="18"/>
          <w:szCs w:val="18"/>
        </w:rPr>
        <w:t>cias en los procesos que afectan la con</w:t>
      </w:r>
      <w:r w:rsidR="000E6966">
        <w:rPr>
          <w:rFonts w:ascii="Century Gothic" w:eastAsia="Century Gothic" w:hAnsi="Century Gothic" w:cs="Century Gothic"/>
          <w:sz w:val="18"/>
          <w:szCs w:val="18"/>
        </w:rPr>
        <w:softHyphen/>
      </w:r>
      <w:r w:rsidR="00C5452E" w:rsidRPr="001818DA">
        <w:rPr>
          <w:rFonts w:ascii="Century Gothic" w:eastAsia="Century Gothic" w:hAnsi="Century Gothic" w:cs="Century Gothic"/>
          <w:sz w:val="18"/>
          <w:szCs w:val="18"/>
        </w:rPr>
        <w:t>fianza pública. De igual manera, otro estu</w:t>
      </w:r>
      <w:r w:rsidR="000E6966">
        <w:rPr>
          <w:rFonts w:ascii="Century Gothic" w:eastAsia="Century Gothic" w:hAnsi="Century Gothic" w:cs="Century Gothic"/>
          <w:sz w:val="18"/>
          <w:szCs w:val="18"/>
        </w:rPr>
        <w:softHyphen/>
      </w:r>
      <w:r w:rsidR="00C5452E" w:rsidRPr="001818DA">
        <w:rPr>
          <w:rFonts w:ascii="Century Gothic" w:eastAsia="Century Gothic" w:hAnsi="Century Gothic" w:cs="Century Gothic"/>
          <w:sz w:val="18"/>
          <w:szCs w:val="18"/>
        </w:rPr>
        <w:t xml:space="preserve">dio que tuvo cierta asociación fue el de </w:t>
      </w:r>
      <w:r w:rsidR="00661688" w:rsidRPr="001818DA">
        <w:rPr>
          <w:rFonts w:ascii="Century Gothic" w:eastAsia="Century Gothic" w:hAnsi="Century Gothic" w:cs="Century Gothic"/>
          <w:sz w:val="18"/>
          <w:szCs w:val="18"/>
        </w:rPr>
        <w:t>Del Pezo (2021</w:t>
      </w:r>
      <w:r w:rsidRPr="001818DA">
        <w:rPr>
          <w:rFonts w:ascii="Century Gothic" w:eastAsia="Century Gothic" w:hAnsi="Century Gothic" w:cs="Century Gothic"/>
          <w:sz w:val="18"/>
          <w:szCs w:val="18"/>
        </w:rPr>
        <w:t xml:space="preserve"> </w:t>
      </w:r>
      <w:r w:rsidR="00C5452E" w:rsidRPr="001818DA">
        <w:rPr>
          <w:rFonts w:ascii="Century Gothic" w:eastAsia="Century Gothic" w:hAnsi="Century Gothic" w:cs="Century Gothic"/>
          <w:sz w:val="18"/>
          <w:szCs w:val="18"/>
        </w:rPr>
        <w:t xml:space="preserve">quien </w:t>
      </w:r>
      <w:r w:rsidRPr="001818DA">
        <w:rPr>
          <w:rFonts w:ascii="Century Gothic" w:eastAsia="Century Gothic" w:hAnsi="Century Gothic" w:cs="Century Gothic"/>
          <w:sz w:val="18"/>
          <w:szCs w:val="18"/>
        </w:rPr>
        <w:t>señala que el fortaleci</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miento de la confianza en el sistema tributa</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rio requiere no solo de políticas equitativas, sino también de un esfuerzo continuo para comunicar los beneficios derivados del cumplimiento fiscal. Este estudio resalta que una mayor transparencia en el uso de los re</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cursos recaudados y la rendición de cuen</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tas</w:t>
      </w:r>
      <w:r w:rsidR="00661688" w:rsidRPr="001818DA">
        <w:rPr>
          <w:rFonts w:ascii="Century Gothic" w:eastAsia="Century Gothic" w:hAnsi="Century Gothic" w:cs="Century Gothic"/>
          <w:sz w:val="18"/>
          <w:szCs w:val="18"/>
        </w:rPr>
        <w:t xml:space="preserve"> a través de políticas fiscales</w:t>
      </w:r>
      <w:r w:rsidRPr="001818DA">
        <w:rPr>
          <w:rFonts w:ascii="Century Gothic" w:eastAsia="Century Gothic" w:hAnsi="Century Gothic" w:cs="Century Gothic"/>
          <w:sz w:val="18"/>
          <w:szCs w:val="18"/>
        </w:rPr>
        <w:t xml:space="preserve"> pueden transformar las percepciones de confianza en niveles más altos.</w:t>
      </w:r>
    </w:p>
    <w:p w14:paraId="64AE0274" w14:textId="7EA97A51" w:rsidR="007A44AA" w:rsidRPr="001818DA" w:rsidRDefault="007A44AA" w:rsidP="00720C40">
      <w:pPr>
        <w:jc w:val="both"/>
        <w:rPr>
          <w:rFonts w:ascii="Century Gothic" w:eastAsia="Century Gothic" w:hAnsi="Century Gothic" w:cs="Century Gothic"/>
          <w:sz w:val="18"/>
          <w:szCs w:val="18"/>
        </w:rPr>
      </w:pPr>
      <w:r w:rsidRPr="001818DA">
        <w:rPr>
          <w:rFonts w:ascii="Century Gothic" w:eastAsia="Century Gothic" w:hAnsi="Century Gothic" w:cs="Century Gothic"/>
          <w:sz w:val="18"/>
          <w:szCs w:val="18"/>
        </w:rPr>
        <w:t>Estos estudios respaldan los resultados obte</w:t>
      </w:r>
      <w:r w:rsidR="000E6966">
        <w:rPr>
          <w:rFonts w:ascii="Century Gothic" w:eastAsia="Century Gothic" w:hAnsi="Century Gothic" w:cs="Century Gothic"/>
          <w:sz w:val="18"/>
          <w:szCs w:val="18"/>
        </w:rPr>
        <w:softHyphen/>
      </w:r>
      <w:r w:rsidRPr="001818DA">
        <w:rPr>
          <w:rFonts w:ascii="Century Gothic" w:eastAsia="Century Gothic" w:hAnsi="Century Gothic" w:cs="Century Gothic"/>
          <w:sz w:val="18"/>
          <w:szCs w:val="18"/>
        </w:rPr>
        <w:t>nidos, destacando que, aunque los niveles actuales de repatriación y trato igualitario son moderados, se requiere un enfoque más integral que combine incentivos adecuados, mayor confianza institucional y una comunicación efectiva.</w:t>
      </w:r>
    </w:p>
    <w:p w14:paraId="53FB1630" w14:textId="77777777" w:rsidR="0039303F" w:rsidRDefault="0039303F" w:rsidP="0039303F">
      <w:pPr>
        <w:jc w:val="both"/>
        <w:rPr>
          <w:rFonts w:ascii="Century Gothic" w:eastAsia="Century Gothic" w:hAnsi="Century Gothic" w:cs="Century Gothic"/>
          <w:b/>
          <w:bCs/>
          <w:sz w:val="14"/>
          <w:szCs w:val="14"/>
        </w:rPr>
        <w:sectPr w:rsidR="0039303F" w:rsidSect="00E43DCC">
          <w:type w:val="continuous"/>
          <w:pgSz w:w="11906" w:h="16838"/>
          <w:pgMar w:top="1418" w:right="1700" w:bottom="1135" w:left="1843" w:header="709" w:footer="709" w:gutter="0"/>
          <w:pgNumType w:start="67"/>
          <w:cols w:num="2" w:space="720" w:equalWidth="0">
            <w:col w:w="3827" w:space="708"/>
            <w:col w:w="3827" w:space="0"/>
          </w:cols>
        </w:sectPr>
      </w:pPr>
    </w:p>
    <w:p w14:paraId="6EC85F2C" w14:textId="05414001" w:rsidR="00662A14" w:rsidRPr="0039303F" w:rsidRDefault="00662A14" w:rsidP="0039303F">
      <w:pPr>
        <w:jc w:val="both"/>
        <w:rPr>
          <w:rFonts w:ascii="Century Gothic" w:eastAsia="Century Gothic" w:hAnsi="Century Gothic" w:cs="Century Gothic"/>
          <w:b/>
          <w:bCs/>
          <w:sz w:val="14"/>
          <w:szCs w:val="14"/>
        </w:rPr>
      </w:pPr>
      <w:r w:rsidRPr="0039303F">
        <w:rPr>
          <w:rFonts w:ascii="Century Gothic" w:eastAsia="Century Gothic" w:hAnsi="Century Gothic" w:cs="Century Gothic"/>
          <w:b/>
          <w:bCs/>
          <w:sz w:val="14"/>
          <w:szCs w:val="14"/>
        </w:rPr>
        <w:t>Tabla</w:t>
      </w:r>
      <w:r w:rsidR="007A65DF" w:rsidRPr="0039303F">
        <w:rPr>
          <w:rFonts w:ascii="Century Gothic" w:eastAsia="Century Gothic" w:hAnsi="Century Gothic" w:cs="Century Gothic"/>
          <w:b/>
          <w:bCs/>
          <w:sz w:val="14"/>
          <w:szCs w:val="14"/>
        </w:rPr>
        <w:t xml:space="preserve"> </w:t>
      </w:r>
      <w:r w:rsidR="00F422DF" w:rsidRPr="0039303F">
        <w:rPr>
          <w:rFonts w:ascii="Century Gothic" w:eastAsia="Century Gothic" w:hAnsi="Century Gothic" w:cs="Century Gothic"/>
          <w:b/>
          <w:bCs/>
          <w:sz w:val="14"/>
          <w:szCs w:val="14"/>
        </w:rPr>
        <w:t>5</w:t>
      </w:r>
    </w:p>
    <w:p w14:paraId="6B9D42FA" w14:textId="7B9248C7" w:rsidR="00D82738" w:rsidRPr="0039303F" w:rsidRDefault="00C81752" w:rsidP="0039303F">
      <w:pPr>
        <w:jc w:val="both"/>
        <w:rPr>
          <w:rFonts w:ascii="Century Gothic" w:eastAsia="Century Gothic" w:hAnsi="Century Gothic" w:cs="Century Gothic"/>
          <w:sz w:val="14"/>
          <w:szCs w:val="14"/>
        </w:rPr>
      </w:pPr>
      <w:r w:rsidRPr="0039303F">
        <w:rPr>
          <w:rFonts w:ascii="Century Gothic" w:eastAsia="Century Gothic" w:hAnsi="Century Gothic" w:cs="Century Gothic"/>
          <w:sz w:val="14"/>
          <w:szCs w:val="14"/>
        </w:rPr>
        <w:t xml:space="preserve">Síntesis de </w:t>
      </w:r>
      <w:r w:rsidR="00AE4C66" w:rsidRPr="0039303F">
        <w:rPr>
          <w:rFonts w:ascii="Century Gothic" w:eastAsia="Century Gothic" w:hAnsi="Century Gothic" w:cs="Century Gothic"/>
          <w:sz w:val="14"/>
          <w:szCs w:val="14"/>
        </w:rPr>
        <w:t>las pruebas</w:t>
      </w:r>
      <w:r w:rsidRPr="0039303F">
        <w:rPr>
          <w:rFonts w:ascii="Century Gothic" w:eastAsia="Century Gothic" w:hAnsi="Century Gothic" w:cs="Century Gothic"/>
          <w:sz w:val="14"/>
          <w:szCs w:val="14"/>
        </w:rPr>
        <w:t xml:space="preserve"> de hipótesis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3DF"/>
        <w:tblLook w:val="04A0" w:firstRow="1" w:lastRow="0" w:firstColumn="1" w:lastColumn="0" w:noHBand="0" w:noVBand="1"/>
      </w:tblPr>
      <w:tblGrid>
        <w:gridCol w:w="3425"/>
        <w:gridCol w:w="1643"/>
        <w:gridCol w:w="1087"/>
        <w:gridCol w:w="768"/>
        <w:gridCol w:w="1440"/>
      </w:tblGrid>
      <w:tr w:rsidR="00C81752" w:rsidRPr="0039303F" w14:paraId="58ACB1C6" w14:textId="77777777" w:rsidTr="0039303F">
        <w:trPr>
          <w:trHeight w:val="113"/>
        </w:trPr>
        <w:tc>
          <w:tcPr>
            <w:tcW w:w="2047" w:type="pct"/>
            <w:tcBorders>
              <w:top w:val="single" w:sz="4" w:space="0" w:color="auto"/>
              <w:bottom w:val="single" w:sz="4" w:space="0" w:color="auto"/>
            </w:tcBorders>
            <w:shd w:val="clear" w:color="auto" w:fill="CBD3DF"/>
            <w:vAlign w:val="center"/>
          </w:tcPr>
          <w:p w14:paraId="7E988631" w14:textId="25B677DF" w:rsidR="00C81752" w:rsidRPr="0039303F" w:rsidRDefault="00C81752" w:rsidP="0039303F">
            <w:pPr>
              <w:ind w:hanging="113"/>
              <w:jc w:val="center"/>
              <w:rPr>
                <w:rFonts w:ascii="Century Gothic" w:eastAsiaTheme="minorHAnsi" w:hAnsi="Century Gothic" w:cstheme="minorBidi"/>
                <w:color w:val="3B3838" w:themeColor="background2" w:themeShade="40"/>
                <w:sz w:val="14"/>
                <w:szCs w:val="14"/>
                <w:shd w:val="clear" w:color="auto" w:fill="FFFFF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Hipótesis</w:t>
            </w:r>
          </w:p>
        </w:tc>
        <w:tc>
          <w:tcPr>
            <w:tcW w:w="982" w:type="pct"/>
            <w:tcBorders>
              <w:top w:val="single" w:sz="4" w:space="0" w:color="auto"/>
              <w:bottom w:val="single" w:sz="4" w:space="0" w:color="auto"/>
            </w:tcBorders>
            <w:shd w:val="clear" w:color="auto" w:fill="CBD3DF"/>
            <w:vAlign w:val="center"/>
          </w:tcPr>
          <w:p w14:paraId="3C60F033"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Logaritmo verosimilitud -2</w:t>
            </w:r>
          </w:p>
        </w:tc>
        <w:tc>
          <w:tcPr>
            <w:tcW w:w="650" w:type="pct"/>
            <w:tcBorders>
              <w:top w:val="single" w:sz="4" w:space="0" w:color="auto"/>
              <w:bottom w:val="single" w:sz="4" w:space="0" w:color="auto"/>
            </w:tcBorders>
            <w:shd w:val="clear" w:color="auto" w:fill="CBD3DF"/>
            <w:vAlign w:val="center"/>
          </w:tcPr>
          <w:p w14:paraId="6DEBABAB"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Chi cuadrado</w:t>
            </w:r>
          </w:p>
        </w:tc>
        <w:tc>
          <w:tcPr>
            <w:tcW w:w="459" w:type="pct"/>
            <w:tcBorders>
              <w:top w:val="single" w:sz="4" w:space="0" w:color="auto"/>
              <w:bottom w:val="single" w:sz="4" w:space="0" w:color="auto"/>
            </w:tcBorders>
            <w:shd w:val="clear" w:color="auto" w:fill="CBD3DF"/>
            <w:vAlign w:val="center"/>
          </w:tcPr>
          <w:p w14:paraId="0525A27B" w14:textId="5137A338"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Sig.</w:t>
            </w:r>
          </w:p>
          <w:p w14:paraId="0FD6F6C5"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bilateral</w:t>
            </w:r>
          </w:p>
        </w:tc>
        <w:tc>
          <w:tcPr>
            <w:tcW w:w="861" w:type="pct"/>
            <w:tcBorders>
              <w:top w:val="single" w:sz="4" w:space="0" w:color="auto"/>
              <w:bottom w:val="single" w:sz="4" w:space="0" w:color="auto"/>
            </w:tcBorders>
            <w:shd w:val="clear" w:color="auto" w:fill="CBD3DF"/>
            <w:vAlign w:val="center"/>
          </w:tcPr>
          <w:p w14:paraId="6EB4A1CD"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Pseudo R Nagelkerke</w:t>
            </w:r>
          </w:p>
        </w:tc>
      </w:tr>
      <w:tr w:rsidR="00C81752" w:rsidRPr="0039303F" w14:paraId="61186F05" w14:textId="77777777" w:rsidTr="0039303F">
        <w:trPr>
          <w:trHeight w:val="113"/>
        </w:trPr>
        <w:tc>
          <w:tcPr>
            <w:tcW w:w="2047" w:type="pct"/>
            <w:tcBorders>
              <w:top w:val="single" w:sz="4" w:space="0" w:color="auto"/>
              <w:bottom w:val="single" w:sz="4" w:space="0" w:color="auto"/>
            </w:tcBorders>
            <w:shd w:val="clear" w:color="auto" w:fill="CBD3DF"/>
            <w:vAlign w:val="center"/>
          </w:tcPr>
          <w:p w14:paraId="75C14B32" w14:textId="5CE1A3B4" w:rsidR="00C81752" w:rsidRPr="0039303F" w:rsidRDefault="00C81752" w:rsidP="0039303F">
            <w:pPr>
              <w:jc w:val="both"/>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Repatriación de rentas no declaradas en el trato igualitario</w:t>
            </w:r>
          </w:p>
        </w:tc>
        <w:tc>
          <w:tcPr>
            <w:tcW w:w="982" w:type="pct"/>
            <w:tcBorders>
              <w:top w:val="single" w:sz="4" w:space="0" w:color="auto"/>
              <w:bottom w:val="single" w:sz="4" w:space="0" w:color="auto"/>
            </w:tcBorders>
            <w:shd w:val="clear" w:color="auto" w:fill="CBD3DF"/>
            <w:vAlign w:val="center"/>
          </w:tcPr>
          <w:p w14:paraId="136EA10C"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40,148</w:t>
            </w:r>
          </w:p>
        </w:tc>
        <w:tc>
          <w:tcPr>
            <w:tcW w:w="650" w:type="pct"/>
            <w:tcBorders>
              <w:top w:val="single" w:sz="4" w:space="0" w:color="auto"/>
              <w:bottom w:val="single" w:sz="4" w:space="0" w:color="auto"/>
            </w:tcBorders>
            <w:shd w:val="clear" w:color="auto" w:fill="CBD3DF"/>
            <w:vAlign w:val="center"/>
          </w:tcPr>
          <w:p w14:paraId="162501C9"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37,103</w:t>
            </w:r>
          </w:p>
        </w:tc>
        <w:tc>
          <w:tcPr>
            <w:tcW w:w="459" w:type="pct"/>
            <w:tcBorders>
              <w:top w:val="single" w:sz="4" w:space="0" w:color="auto"/>
              <w:bottom w:val="single" w:sz="4" w:space="0" w:color="auto"/>
            </w:tcBorders>
            <w:shd w:val="clear" w:color="auto" w:fill="CBD3DF"/>
            <w:vAlign w:val="center"/>
          </w:tcPr>
          <w:p w14:paraId="24C226E1" w14:textId="0DA68204"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,000</w:t>
            </w:r>
          </w:p>
        </w:tc>
        <w:tc>
          <w:tcPr>
            <w:tcW w:w="861" w:type="pct"/>
            <w:tcBorders>
              <w:top w:val="single" w:sz="4" w:space="0" w:color="auto"/>
              <w:bottom w:val="single" w:sz="4" w:space="0" w:color="auto"/>
            </w:tcBorders>
            <w:shd w:val="clear" w:color="auto" w:fill="CBD3DF"/>
            <w:vAlign w:val="center"/>
          </w:tcPr>
          <w:p w14:paraId="707C0929"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,807</w:t>
            </w:r>
          </w:p>
        </w:tc>
      </w:tr>
      <w:tr w:rsidR="00C81752" w:rsidRPr="0039303F" w14:paraId="6B618143" w14:textId="77777777" w:rsidTr="0039303F">
        <w:trPr>
          <w:trHeight w:val="113"/>
        </w:trPr>
        <w:tc>
          <w:tcPr>
            <w:tcW w:w="2047" w:type="pct"/>
            <w:tcBorders>
              <w:top w:val="single" w:sz="4" w:space="0" w:color="auto"/>
              <w:bottom w:val="single" w:sz="4" w:space="0" w:color="auto"/>
            </w:tcBorders>
            <w:shd w:val="clear" w:color="auto" w:fill="CBD3DF"/>
          </w:tcPr>
          <w:p w14:paraId="0E4FF3C8" w14:textId="074B45AA" w:rsidR="00C81752" w:rsidRPr="0039303F" w:rsidRDefault="00C81752" w:rsidP="0039303F">
            <w:pPr>
              <w:jc w:val="both"/>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Regularización de ingresos no declarados en el trato igualitario</w:t>
            </w:r>
          </w:p>
        </w:tc>
        <w:tc>
          <w:tcPr>
            <w:tcW w:w="982" w:type="pct"/>
            <w:tcBorders>
              <w:top w:val="single" w:sz="4" w:space="0" w:color="auto"/>
              <w:bottom w:val="single" w:sz="4" w:space="0" w:color="auto"/>
            </w:tcBorders>
            <w:shd w:val="clear" w:color="auto" w:fill="CBD3DF"/>
            <w:vAlign w:val="center"/>
          </w:tcPr>
          <w:p w14:paraId="2C47E5DF"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34,482</w:t>
            </w:r>
          </w:p>
        </w:tc>
        <w:tc>
          <w:tcPr>
            <w:tcW w:w="650" w:type="pct"/>
            <w:tcBorders>
              <w:top w:val="single" w:sz="4" w:space="0" w:color="auto"/>
              <w:bottom w:val="single" w:sz="4" w:space="0" w:color="auto"/>
            </w:tcBorders>
            <w:shd w:val="clear" w:color="auto" w:fill="CBD3DF"/>
            <w:vAlign w:val="center"/>
          </w:tcPr>
          <w:p w14:paraId="5D4A736A"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29,496</w:t>
            </w:r>
          </w:p>
        </w:tc>
        <w:tc>
          <w:tcPr>
            <w:tcW w:w="459" w:type="pct"/>
            <w:tcBorders>
              <w:top w:val="single" w:sz="4" w:space="0" w:color="auto"/>
              <w:bottom w:val="single" w:sz="4" w:space="0" w:color="auto"/>
            </w:tcBorders>
            <w:shd w:val="clear" w:color="auto" w:fill="CBD3DF"/>
            <w:vAlign w:val="center"/>
          </w:tcPr>
          <w:p w14:paraId="0C3A9213" w14:textId="0F13E6D5"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,000</w:t>
            </w:r>
          </w:p>
        </w:tc>
        <w:tc>
          <w:tcPr>
            <w:tcW w:w="861" w:type="pct"/>
            <w:tcBorders>
              <w:top w:val="single" w:sz="4" w:space="0" w:color="auto"/>
              <w:bottom w:val="single" w:sz="4" w:space="0" w:color="auto"/>
            </w:tcBorders>
            <w:shd w:val="clear" w:color="auto" w:fill="CBD3DF"/>
            <w:vAlign w:val="center"/>
          </w:tcPr>
          <w:p w14:paraId="04303A56"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,696</w:t>
            </w:r>
          </w:p>
        </w:tc>
      </w:tr>
      <w:tr w:rsidR="00C81752" w:rsidRPr="0039303F" w14:paraId="222D3D36" w14:textId="77777777" w:rsidTr="0039303F">
        <w:trPr>
          <w:trHeight w:val="113"/>
        </w:trPr>
        <w:tc>
          <w:tcPr>
            <w:tcW w:w="2047" w:type="pct"/>
            <w:tcBorders>
              <w:top w:val="single" w:sz="4" w:space="0" w:color="auto"/>
              <w:bottom w:val="single" w:sz="4" w:space="0" w:color="auto"/>
            </w:tcBorders>
            <w:shd w:val="clear" w:color="auto" w:fill="CBD3DF"/>
          </w:tcPr>
          <w:p w14:paraId="66B988D5" w14:textId="523E1B84" w:rsidR="00C81752" w:rsidRPr="0039303F" w:rsidRDefault="00C81752" w:rsidP="0039303F">
            <w:pPr>
              <w:jc w:val="both"/>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Incentivo a la declaración y repatriación en el trato igualitario</w:t>
            </w:r>
          </w:p>
        </w:tc>
        <w:tc>
          <w:tcPr>
            <w:tcW w:w="982" w:type="pct"/>
            <w:tcBorders>
              <w:top w:val="single" w:sz="4" w:space="0" w:color="auto"/>
              <w:bottom w:val="single" w:sz="4" w:space="0" w:color="auto"/>
            </w:tcBorders>
            <w:shd w:val="clear" w:color="auto" w:fill="CBD3DF"/>
            <w:vAlign w:val="center"/>
          </w:tcPr>
          <w:p w14:paraId="76C34604"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40,148</w:t>
            </w:r>
          </w:p>
        </w:tc>
        <w:tc>
          <w:tcPr>
            <w:tcW w:w="650" w:type="pct"/>
            <w:tcBorders>
              <w:top w:val="single" w:sz="4" w:space="0" w:color="auto"/>
              <w:bottom w:val="single" w:sz="4" w:space="0" w:color="auto"/>
            </w:tcBorders>
            <w:shd w:val="clear" w:color="auto" w:fill="CBD3DF"/>
            <w:vAlign w:val="center"/>
          </w:tcPr>
          <w:p w14:paraId="3C620436"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37,103</w:t>
            </w:r>
          </w:p>
        </w:tc>
        <w:tc>
          <w:tcPr>
            <w:tcW w:w="459" w:type="pct"/>
            <w:tcBorders>
              <w:top w:val="single" w:sz="4" w:space="0" w:color="auto"/>
              <w:bottom w:val="single" w:sz="4" w:space="0" w:color="auto"/>
            </w:tcBorders>
            <w:shd w:val="clear" w:color="auto" w:fill="CBD3DF"/>
            <w:vAlign w:val="center"/>
          </w:tcPr>
          <w:p w14:paraId="17484FBB" w14:textId="3953559B"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,000</w:t>
            </w:r>
          </w:p>
        </w:tc>
        <w:tc>
          <w:tcPr>
            <w:tcW w:w="861" w:type="pct"/>
            <w:tcBorders>
              <w:top w:val="single" w:sz="4" w:space="0" w:color="auto"/>
              <w:bottom w:val="single" w:sz="4" w:space="0" w:color="auto"/>
            </w:tcBorders>
            <w:shd w:val="clear" w:color="auto" w:fill="CBD3DF"/>
            <w:vAlign w:val="center"/>
          </w:tcPr>
          <w:p w14:paraId="201AA272"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,807</w:t>
            </w:r>
          </w:p>
        </w:tc>
      </w:tr>
      <w:tr w:rsidR="00C81752" w:rsidRPr="0039303F" w14:paraId="72858C12" w14:textId="77777777" w:rsidTr="0039303F">
        <w:trPr>
          <w:trHeight w:val="113"/>
        </w:trPr>
        <w:tc>
          <w:tcPr>
            <w:tcW w:w="2047" w:type="pct"/>
            <w:tcBorders>
              <w:top w:val="single" w:sz="4" w:space="0" w:color="auto"/>
              <w:bottom w:val="single" w:sz="4" w:space="0" w:color="auto"/>
            </w:tcBorders>
            <w:shd w:val="clear" w:color="auto" w:fill="CBD3DF"/>
          </w:tcPr>
          <w:p w14:paraId="489B53E1" w14:textId="281B1300" w:rsidR="00C81752" w:rsidRPr="0039303F" w:rsidRDefault="00C81752" w:rsidP="0039303F">
            <w:pPr>
              <w:jc w:val="both"/>
              <w:rPr>
                <w:rFonts w:ascii="Century Gothic" w:eastAsiaTheme="minorHAnsi" w:hAnsi="Century Gothic" w:cstheme="minorBidi"/>
                <w:color w:val="3B3838" w:themeColor="background2" w:themeShade="40"/>
                <w:sz w:val="14"/>
                <w:szCs w:val="14"/>
                <w:shd w:val="clear" w:color="auto" w:fill="FFFFF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Obligaciones fiscales y políticas tributarias en el trato igualitario</w:t>
            </w:r>
          </w:p>
        </w:tc>
        <w:tc>
          <w:tcPr>
            <w:tcW w:w="982" w:type="pct"/>
            <w:tcBorders>
              <w:top w:val="single" w:sz="4" w:space="0" w:color="auto"/>
              <w:bottom w:val="single" w:sz="4" w:space="0" w:color="auto"/>
            </w:tcBorders>
            <w:shd w:val="clear" w:color="auto" w:fill="CBD3DF"/>
            <w:vAlign w:val="center"/>
          </w:tcPr>
          <w:p w14:paraId="09EDB74F" w14:textId="77777777" w:rsidR="00C81752" w:rsidRPr="0039303F" w:rsidRDefault="00C81752" w:rsidP="0039303F">
            <w:pPr>
              <w:ind w:left="-36" w:right="60"/>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37,375</w:t>
            </w:r>
          </w:p>
        </w:tc>
        <w:tc>
          <w:tcPr>
            <w:tcW w:w="650" w:type="pct"/>
            <w:tcBorders>
              <w:top w:val="single" w:sz="4" w:space="0" w:color="auto"/>
              <w:bottom w:val="single" w:sz="4" w:space="0" w:color="auto"/>
            </w:tcBorders>
            <w:shd w:val="clear" w:color="auto" w:fill="CBD3DF"/>
            <w:vAlign w:val="center"/>
          </w:tcPr>
          <w:p w14:paraId="7F9DF9A2" w14:textId="77777777" w:rsidR="00C81752" w:rsidRPr="0039303F" w:rsidRDefault="00C81752" w:rsidP="0039303F">
            <w:pPr>
              <w:ind w:left="-32" w:right="60"/>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34,182</w:t>
            </w:r>
          </w:p>
        </w:tc>
        <w:tc>
          <w:tcPr>
            <w:tcW w:w="459" w:type="pct"/>
            <w:tcBorders>
              <w:top w:val="single" w:sz="4" w:space="0" w:color="auto"/>
              <w:bottom w:val="single" w:sz="4" w:space="0" w:color="auto"/>
            </w:tcBorders>
            <w:shd w:val="clear" w:color="auto" w:fill="CBD3DF"/>
            <w:vAlign w:val="center"/>
          </w:tcPr>
          <w:p w14:paraId="6A7EB4EF" w14:textId="42DF00CD"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CBD3D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,000</w:t>
            </w:r>
          </w:p>
        </w:tc>
        <w:tc>
          <w:tcPr>
            <w:tcW w:w="861" w:type="pct"/>
            <w:tcBorders>
              <w:top w:val="single" w:sz="4" w:space="0" w:color="auto"/>
              <w:bottom w:val="single" w:sz="4" w:space="0" w:color="auto"/>
            </w:tcBorders>
            <w:shd w:val="clear" w:color="auto" w:fill="CBD3DF"/>
            <w:vAlign w:val="center"/>
          </w:tcPr>
          <w:p w14:paraId="2C7D3E41" w14:textId="77777777" w:rsidR="00C81752" w:rsidRPr="0039303F" w:rsidRDefault="00C81752" w:rsidP="0039303F">
            <w:pPr>
              <w:jc w:val="center"/>
              <w:rPr>
                <w:rFonts w:ascii="Century Gothic" w:eastAsiaTheme="minorHAnsi" w:hAnsi="Century Gothic" w:cstheme="minorBidi"/>
                <w:color w:val="3B3838" w:themeColor="background2" w:themeShade="40"/>
                <w:sz w:val="14"/>
                <w:szCs w:val="14"/>
                <w:shd w:val="clear" w:color="auto" w:fill="FFFFFF"/>
                <w:lang w:eastAsia="en-US"/>
              </w:rPr>
            </w:pPr>
            <w:r w:rsidRPr="0039303F">
              <w:rPr>
                <w:rFonts w:ascii="Century Gothic" w:eastAsiaTheme="minorHAnsi" w:hAnsi="Century Gothic" w:cstheme="minorBidi"/>
                <w:color w:val="3B3838" w:themeColor="background2" w:themeShade="40"/>
                <w:sz w:val="14"/>
                <w:szCs w:val="14"/>
                <w:shd w:val="clear" w:color="auto" w:fill="CBD3DF"/>
                <w:lang w:eastAsia="en-US"/>
              </w:rPr>
              <w:t>,767</w:t>
            </w:r>
          </w:p>
        </w:tc>
      </w:tr>
    </w:tbl>
    <w:p w14:paraId="628F0B00" w14:textId="77777777" w:rsidR="0039303F" w:rsidRDefault="0039303F" w:rsidP="00D82738">
      <w:pPr>
        <w:jc w:val="both"/>
        <w:rPr>
          <w:rFonts w:ascii="Century Gothic" w:eastAsia="Century Gothic" w:hAnsi="Century Gothic" w:cs="Century Gothic"/>
          <w:sz w:val="14"/>
          <w:szCs w:val="14"/>
        </w:rPr>
        <w:sectPr w:rsidR="0039303F" w:rsidSect="0039303F">
          <w:type w:val="continuous"/>
          <w:pgSz w:w="11906" w:h="16838"/>
          <w:pgMar w:top="1418" w:right="1700" w:bottom="1135" w:left="1843" w:header="709" w:footer="709" w:gutter="0"/>
          <w:cols w:space="720"/>
        </w:sectPr>
      </w:pPr>
    </w:p>
    <w:p w14:paraId="6A53DFC1" w14:textId="51D8B807" w:rsidR="00F422DF" w:rsidRPr="00C90B2B" w:rsidRDefault="00011610" w:rsidP="00C90B2B">
      <w:pPr>
        <w:jc w:val="both"/>
        <w:rPr>
          <w:rFonts w:ascii="Century Gothic" w:eastAsia="Century Gothic" w:hAnsi="Century Gothic" w:cs="Century Gothic"/>
          <w:bCs/>
          <w:color w:val="000000" w:themeColor="text1"/>
          <w:sz w:val="18"/>
          <w:szCs w:val="18"/>
        </w:rPr>
      </w:pPr>
      <w:r>
        <w:rPr>
          <w:rFonts w:ascii="Century Gothic" w:eastAsia="Century Gothic" w:hAnsi="Century Gothic" w:cs="Century Gothic"/>
          <w:bCs/>
          <w:color w:val="000000" w:themeColor="text1"/>
          <w:sz w:val="18"/>
          <w:szCs w:val="18"/>
        </w:rPr>
        <w:lastRenderedPageBreak/>
        <w:t xml:space="preserve">La tabla 5 muestra </w:t>
      </w:r>
      <w:r w:rsidR="00C90B2B" w:rsidRPr="00C90B2B">
        <w:rPr>
          <w:rFonts w:ascii="Century Gothic" w:eastAsia="Century Gothic" w:hAnsi="Century Gothic" w:cs="Century Gothic"/>
          <w:bCs/>
          <w:color w:val="000000" w:themeColor="text1"/>
          <w:sz w:val="18"/>
          <w:szCs w:val="18"/>
        </w:rPr>
        <w:t>que la repatriación de rentas no declaradas tiene una influencia muy significativa en el trato igualitario, explicando aproximadamente el 80,7% de la variabilidad en el trato igualitario a los contribuyentes. Esto sugiere que las políticas destinadas a facilitar la repatriación de capitales y a garantizar un tratamiento justo y equitativo para aquellos que regularizan su situación fiscal son altamente efectivas.</w:t>
      </w:r>
    </w:p>
    <w:p w14:paraId="65EC5E9B" w14:textId="2484BB18" w:rsidR="00E629AC" w:rsidRPr="00E629AC" w:rsidRDefault="00E629AC" w:rsidP="00E629AC">
      <w:pPr>
        <w:jc w:val="both"/>
        <w:rPr>
          <w:rFonts w:ascii="Century Gothic" w:eastAsia="Century Gothic" w:hAnsi="Century Gothic" w:cs="Century Gothic"/>
          <w:sz w:val="18"/>
          <w:szCs w:val="18"/>
        </w:rPr>
      </w:pPr>
      <w:r w:rsidRPr="00E629AC">
        <w:rPr>
          <w:rFonts w:ascii="Century Gothic" w:eastAsia="Century Gothic" w:hAnsi="Century Gothic" w:cs="Century Gothic"/>
          <w:sz w:val="18"/>
          <w:szCs w:val="18"/>
        </w:rPr>
        <w:t>Estos resultados están en línea con l</w:t>
      </w:r>
      <w:r w:rsidR="00B21071">
        <w:rPr>
          <w:rFonts w:ascii="Century Gothic" w:eastAsia="Century Gothic" w:hAnsi="Century Gothic" w:cs="Century Gothic"/>
          <w:sz w:val="18"/>
          <w:szCs w:val="18"/>
        </w:rPr>
        <w:t>o señalado por</w:t>
      </w:r>
      <w:r w:rsidRPr="00E629AC">
        <w:rPr>
          <w:rFonts w:ascii="Century Gothic" w:eastAsia="Century Gothic" w:hAnsi="Century Gothic" w:cs="Century Gothic"/>
          <w:sz w:val="18"/>
          <w:szCs w:val="18"/>
        </w:rPr>
        <w:t xml:space="preserve"> Cavero y Huaichao (2022), quienes encontraron que la repatriación de rentas no declaradas tiene un impacto considerable en la regulación de ingresos y en la percepción de legitimidad fiscal. Su estudio en el distrito de Tambopata reveló que la regularización patrimonial no solo afecta la equidad percibida, sino también la eficiencia en la recaudación fiscal. La alta explicación de variabilidad en el trato igualitario observada en esta investigación refuerza la idea de que las medidas que facilitan la repatriación pueden contribuir a </w:t>
      </w:r>
      <w:r w:rsidR="007938CF">
        <w:rPr>
          <w:rFonts w:ascii="Century Gothic" w:eastAsia="Century Gothic" w:hAnsi="Century Gothic" w:cs="Century Gothic"/>
          <w:sz w:val="18"/>
          <w:szCs w:val="18"/>
        </w:rPr>
        <w:t>una</w:t>
      </w:r>
      <w:r w:rsidRPr="00E629AC">
        <w:rPr>
          <w:rFonts w:ascii="Century Gothic" w:eastAsia="Century Gothic" w:hAnsi="Century Gothic" w:cs="Century Gothic"/>
          <w:sz w:val="18"/>
          <w:szCs w:val="18"/>
        </w:rPr>
        <w:t xml:space="preserve"> percepción </w:t>
      </w:r>
      <w:r w:rsidR="007938CF">
        <w:rPr>
          <w:rFonts w:ascii="Century Gothic" w:eastAsia="Century Gothic" w:hAnsi="Century Gothic" w:cs="Century Gothic"/>
          <w:sz w:val="18"/>
          <w:szCs w:val="18"/>
        </w:rPr>
        <w:t xml:space="preserve">positiva </w:t>
      </w:r>
      <w:r w:rsidRPr="00E629AC">
        <w:rPr>
          <w:rFonts w:ascii="Century Gothic" w:eastAsia="Century Gothic" w:hAnsi="Century Gothic" w:cs="Century Gothic"/>
          <w:sz w:val="18"/>
          <w:szCs w:val="18"/>
        </w:rPr>
        <w:t xml:space="preserve">de justicia </w:t>
      </w:r>
      <w:r w:rsidR="007938CF">
        <w:rPr>
          <w:rFonts w:ascii="Century Gothic" w:eastAsia="Century Gothic" w:hAnsi="Century Gothic" w:cs="Century Gothic"/>
          <w:sz w:val="18"/>
          <w:szCs w:val="18"/>
        </w:rPr>
        <w:t>fiscal</w:t>
      </w:r>
      <w:r w:rsidRPr="00E629AC">
        <w:rPr>
          <w:rFonts w:ascii="Century Gothic" w:eastAsia="Century Gothic" w:hAnsi="Century Gothic" w:cs="Century Gothic"/>
          <w:sz w:val="18"/>
          <w:szCs w:val="18"/>
        </w:rPr>
        <w:t>.</w:t>
      </w:r>
      <w:r w:rsidR="00B21071">
        <w:rPr>
          <w:rFonts w:ascii="Century Gothic" w:eastAsia="Century Gothic" w:hAnsi="Century Gothic" w:cs="Century Gothic"/>
          <w:sz w:val="18"/>
          <w:szCs w:val="18"/>
        </w:rPr>
        <w:t xml:space="preserve"> Asimismo, </w:t>
      </w:r>
      <w:r w:rsidRPr="00E629AC">
        <w:rPr>
          <w:rFonts w:ascii="Century Gothic" w:eastAsia="Century Gothic" w:hAnsi="Century Gothic" w:cs="Century Gothic"/>
          <w:sz w:val="18"/>
          <w:szCs w:val="18"/>
        </w:rPr>
        <w:t xml:space="preserve">Del Pezo (2021) destaca que la repatriación de capitales es una herramienta clave para el sinceramiento fiscal, lo cual es corroborado por los resultados obtenidos. </w:t>
      </w:r>
      <w:r w:rsidR="00B21071">
        <w:rPr>
          <w:rFonts w:ascii="Century Gothic" w:eastAsia="Century Gothic" w:hAnsi="Century Gothic" w:cs="Century Gothic"/>
          <w:sz w:val="18"/>
          <w:szCs w:val="18"/>
        </w:rPr>
        <w:t xml:space="preserve">Lo que </w:t>
      </w:r>
      <w:r w:rsidRPr="00E629AC">
        <w:rPr>
          <w:rFonts w:ascii="Century Gothic" w:eastAsia="Century Gothic" w:hAnsi="Century Gothic" w:cs="Century Gothic"/>
          <w:sz w:val="18"/>
          <w:szCs w:val="18"/>
        </w:rPr>
        <w:t xml:space="preserve">sugiere que las políticas diseñadas </w:t>
      </w:r>
      <w:r w:rsidR="00B21071">
        <w:rPr>
          <w:rFonts w:ascii="Century Gothic" w:eastAsia="Century Gothic" w:hAnsi="Century Gothic" w:cs="Century Gothic"/>
          <w:sz w:val="18"/>
          <w:szCs w:val="18"/>
        </w:rPr>
        <w:t>para este mecanismo</w:t>
      </w:r>
      <w:r w:rsidRPr="00E629AC">
        <w:rPr>
          <w:rFonts w:ascii="Century Gothic" w:eastAsia="Century Gothic" w:hAnsi="Century Gothic" w:cs="Century Gothic"/>
          <w:sz w:val="18"/>
          <w:szCs w:val="18"/>
        </w:rPr>
        <w:t xml:space="preserve"> están efectivamente alineadas con los objetivos de mejorar el trato igualitario. La percepción de un trato equitativo para quienes regularizan su situación fiscal puede fortalecer la confianza en el sistema </w:t>
      </w:r>
      <w:r w:rsidR="007938CF">
        <w:rPr>
          <w:rFonts w:ascii="Century Gothic" w:eastAsia="Century Gothic" w:hAnsi="Century Gothic" w:cs="Century Gothic"/>
          <w:sz w:val="18"/>
          <w:szCs w:val="18"/>
        </w:rPr>
        <w:t>fiscal</w:t>
      </w:r>
      <w:r w:rsidRPr="00E629AC">
        <w:rPr>
          <w:rFonts w:ascii="Century Gothic" w:eastAsia="Century Gothic" w:hAnsi="Century Gothic" w:cs="Century Gothic"/>
          <w:sz w:val="18"/>
          <w:szCs w:val="18"/>
        </w:rPr>
        <w:t>.</w:t>
      </w:r>
    </w:p>
    <w:p w14:paraId="79CCFC9C" w14:textId="59EB2CD9" w:rsidR="00E629AC" w:rsidRPr="00E629AC" w:rsidRDefault="00E629AC" w:rsidP="00E629AC">
      <w:pPr>
        <w:jc w:val="both"/>
        <w:rPr>
          <w:rFonts w:ascii="Century Gothic" w:eastAsia="Century Gothic" w:hAnsi="Century Gothic" w:cs="Century Gothic"/>
          <w:sz w:val="18"/>
          <w:szCs w:val="18"/>
        </w:rPr>
      </w:pPr>
      <w:r w:rsidRPr="00E629AC">
        <w:rPr>
          <w:rFonts w:ascii="Century Gothic" w:eastAsia="Century Gothic" w:hAnsi="Century Gothic" w:cs="Century Gothic"/>
          <w:sz w:val="18"/>
          <w:szCs w:val="18"/>
        </w:rPr>
        <w:t>El estudio de Díaz y Niquen (2019) sobre la eficiencia tributaria del D</w:t>
      </w:r>
      <w:r w:rsidR="00B21071">
        <w:rPr>
          <w:rFonts w:ascii="Century Gothic" w:eastAsia="Century Gothic" w:hAnsi="Century Gothic" w:cs="Century Gothic"/>
          <w:sz w:val="18"/>
          <w:szCs w:val="18"/>
        </w:rPr>
        <w:t>.L.</w:t>
      </w:r>
      <w:r w:rsidRPr="00E629AC">
        <w:rPr>
          <w:rFonts w:ascii="Century Gothic" w:eastAsia="Century Gothic" w:hAnsi="Century Gothic" w:cs="Century Gothic"/>
          <w:sz w:val="18"/>
          <w:szCs w:val="18"/>
        </w:rPr>
        <w:t xml:space="preserve"> Nº 1264 en la región Lambayeque destaca que el régimen de repatriación ha mostrado una mejora en la recaudación tributaria, lo cual es consistente con los resultados obtenidos. La alta influencia de la repatriación de rentas en el trato igualitario refleja la eficacia de este régimen en la optimización de la justicia fiscal y en la mejora de la percepción de equidad entre los contribuyentes.</w:t>
      </w:r>
      <w:r w:rsidR="00B21071">
        <w:rPr>
          <w:rFonts w:ascii="Century Gothic" w:eastAsia="Century Gothic" w:hAnsi="Century Gothic" w:cs="Century Gothic"/>
          <w:sz w:val="18"/>
          <w:szCs w:val="18"/>
        </w:rPr>
        <w:t xml:space="preserve"> Además, </w:t>
      </w:r>
      <w:r w:rsidRPr="00E629AC">
        <w:rPr>
          <w:rFonts w:ascii="Century Gothic" w:eastAsia="Century Gothic" w:hAnsi="Century Gothic" w:cs="Century Gothic"/>
          <w:sz w:val="18"/>
          <w:szCs w:val="18"/>
        </w:rPr>
        <w:t xml:space="preserve">Gallardo (2019) también ha subrayado la incidencia del régimen sustitutorio en el incremento patrimonial no justificado, apuntando a la necesidad de políticas que equilibren las tasas impositivas y aseguren un trato justo. Los resultados corroboran esta afirmación, al evidenciar que </w:t>
      </w:r>
      <w:r w:rsidR="00B21071">
        <w:rPr>
          <w:rFonts w:ascii="Century Gothic" w:eastAsia="Century Gothic" w:hAnsi="Century Gothic" w:cs="Century Gothic"/>
          <w:sz w:val="18"/>
          <w:szCs w:val="18"/>
        </w:rPr>
        <w:t>este régimen</w:t>
      </w:r>
      <w:r w:rsidRPr="00E629AC">
        <w:rPr>
          <w:rFonts w:ascii="Century Gothic" w:eastAsia="Century Gothic" w:hAnsi="Century Gothic" w:cs="Century Gothic"/>
          <w:sz w:val="18"/>
          <w:szCs w:val="18"/>
        </w:rPr>
        <w:t xml:space="preserve"> tiene un impacto significativo en la percepción de trato igualitario, lo que refuerza </w:t>
      </w:r>
      <w:r w:rsidR="00B21071">
        <w:rPr>
          <w:rFonts w:ascii="Century Gothic" w:eastAsia="Century Gothic" w:hAnsi="Century Gothic" w:cs="Century Gothic"/>
          <w:sz w:val="18"/>
          <w:szCs w:val="18"/>
        </w:rPr>
        <w:t>el valor</w:t>
      </w:r>
      <w:r w:rsidRPr="00E629AC">
        <w:rPr>
          <w:rFonts w:ascii="Century Gothic" w:eastAsia="Century Gothic" w:hAnsi="Century Gothic" w:cs="Century Gothic"/>
          <w:sz w:val="18"/>
          <w:szCs w:val="18"/>
        </w:rPr>
        <w:t xml:space="preserve"> de ajustar las políticas </w:t>
      </w:r>
      <w:r w:rsidR="007938CF">
        <w:rPr>
          <w:rFonts w:ascii="Century Gothic" w:eastAsia="Century Gothic" w:hAnsi="Century Gothic" w:cs="Century Gothic"/>
          <w:sz w:val="18"/>
          <w:szCs w:val="18"/>
        </w:rPr>
        <w:t>tributarias peruanas.</w:t>
      </w:r>
    </w:p>
    <w:p w14:paraId="56C3403A" w14:textId="423E159D" w:rsidR="00E629AC" w:rsidRDefault="00B21071" w:rsidP="00E629AC">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Por otro lado, los estudios </w:t>
      </w:r>
      <w:r w:rsidR="00E629AC" w:rsidRPr="00E629AC">
        <w:rPr>
          <w:rFonts w:ascii="Century Gothic" w:eastAsia="Century Gothic" w:hAnsi="Century Gothic" w:cs="Century Gothic"/>
          <w:sz w:val="18"/>
          <w:szCs w:val="18"/>
        </w:rPr>
        <w:t>Magin</w:t>
      </w:r>
      <w:r>
        <w:rPr>
          <w:rFonts w:ascii="Century Gothic" w:eastAsia="Century Gothic" w:hAnsi="Century Gothic" w:cs="Century Gothic"/>
          <w:sz w:val="18"/>
          <w:szCs w:val="18"/>
        </w:rPr>
        <w:t xml:space="preserve"> et al.</w:t>
      </w:r>
      <w:r w:rsidR="00E629AC" w:rsidRPr="00E629AC">
        <w:rPr>
          <w:rFonts w:ascii="Century Gothic" w:eastAsia="Century Gothic" w:hAnsi="Century Gothic" w:cs="Century Gothic"/>
          <w:sz w:val="18"/>
          <w:szCs w:val="18"/>
        </w:rPr>
        <w:t xml:space="preserve"> (2020) y Margarriño</w:t>
      </w:r>
      <w:r>
        <w:rPr>
          <w:rFonts w:ascii="Century Gothic" w:eastAsia="Century Gothic" w:hAnsi="Century Gothic" w:cs="Century Gothic"/>
          <w:sz w:val="18"/>
          <w:szCs w:val="18"/>
        </w:rPr>
        <w:t xml:space="preserve"> et al. </w:t>
      </w:r>
      <w:r w:rsidR="00E629AC" w:rsidRPr="00E629AC">
        <w:rPr>
          <w:rFonts w:ascii="Century Gothic" w:eastAsia="Century Gothic" w:hAnsi="Century Gothic" w:cs="Century Gothic"/>
          <w:sz w:val="18"/>
          <w:szCs w:val="18"/>
        </w:rPr>
        <w:t>(2019) han abordado el análisis de la repatriación de rentas no de</w:t>
      </w:r>
      <w:r w:rsidR="00E43DCC">
        <w:rPr>
          <w:rFonts w:ascii="Century Gothic" w:eastAsia="Century Gothic" w:hAnsi="Century Gothic" w:cs="Century Gothic"/>
          <w:sz w:val="18"/>
          <w:szCs w:val="18"/>
        </w:rPr>
        <w:softHyphen/>
      </w:r>
      <w:r w:rsidR="00E629AC" w:rsidRPr="00E629AC">
        <w:rPr>
          <w:rFonts w:ascii="Century Gothic" w:eastAsia="Century Gothic" w:hAnsi="Century Gothic" w:cs="Century Gothic"/>
          <w:sz w:val="18"/>
          <w:szCs w:val="18"/>
        </w:rPr>
        <w:t>claradas, revelando que el régimen tempo</w:t>
      </w:r>
      <w:r w:rsidR="00E43DCC">
        <w:rPr>
          <w:rFonts w:ascii="Century Gothic" w:eastAsia="Century Gothic" w:hAnsi="Century Gothic" w:cs="Century Gothic"/>
          <w:sz w:val="18"/>
          <w:szCs w:val="18"/>
        </w:rPr>
        <w:softHyphen/>
      </w:r>
      <w:r w:rsidR="00E629AC" w:rsidRPr="00E629AC">
        <w:rPr>
          <w:rFonts w:ascii="Century Gothic" w:eastAsia="Century Gothic" w:hAnsi="Century Gothic" w:cs="Century Gothic"/>
          <w:sz w:val="18"/>
          <w:szCs w:val="18"/>
        </w:rPr>
        <w:t>ral</w:t>
      </w:r>
      <w:r w:rsidR="00AE4C66">
        <w:rPr>
          <w:rFonts w:ascii="Century Gothic" w:eastAsia="Century Gothic" w:hAnsi="Century Gothic" w:cs="Century Gothic"/>
          <w:sz w:val="18"/>
          <w:szCs w:val="18"/>
        </w:rPr>
        <w:t xml:space="preserve"> y </w:t>
      </w:r>
      <w:r w:rsidR="00E629AC" w:rsidRPr="00E629AC">
        <w:rPr>
          <w:rFonts w:ascii="Century Gothic" w:eastAsia="Century Gothic" w:hAnsi="Century Gothic" w:cs="Century Gothic"/>
          <w:sz w:val="18"/>
          <w:szCs w:val="18"/>
        </w:rPr>
        <w:t xml:space="preserve">sustitutorio tiene un efecto positivo en la regularización fiscal. Estos hallazgos son </w:t>
      </w:r>
      <w:r w:rsidR="00E629AC" w:rsidRPr="00E629AC">
        <w:rPr>
          <w:rFonts w:ascii="Century Gothic" w:eastAsia="Century Gothic" w:hAnsi="Century Gothic" w:cs="Century Gothic"/>
          <w:sz w:val="18"/>
          <w:szCs w:val="18"/>
        </w:rPr>
        <w:t xml:space="preserve">consistentes con </w:t>
      </w:r>
      <w:r w:rsidR="00AE4C66">
        <w:rPr>
          <w:rFonts w:ascii="Century Gothic" w:eastAsia="Century Gothic" w:hAnsi="Century Gothic" w:cs="Century Gothic"/>
          <w:sz w:val="18"/>
          <w:szCs w:val="18"/>
        </w:rPr>
        <w:t>el</w:t>
      </w:r>
      <w:r w:rsidR="00E629AC" w:rsidRPr="00E629AC">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obtenido</w:t>
      </w:r>
      <w:r w:rsidR="00E629AC" w:rsidRPr="00E629AC">
        <w:rPr>
          <w:rFonts w:ascii="Century Gothic" w:eastAsia="Century Gothic" w:hAnsi="Century Gothic" w:cs="Century Gothic"/>
          <w:sz w:val="18"/>
          <w:szCs w:val="18"/>
        </w:rPr>
        <w:t>, que indican que las políticas de repatriación están aso</w:t>
      </w:r>
      <w:r w:rsidR="00E43DCC">
        <w:rPr>
          <w:rFonts w:ascii="Century Gothic" w:eastAsia="Century Gothic" w:hAnsi="Century Gothic" w:cs="Century Gothic"/>
          <w:sz w:val="18"/>
          <w:szCs w:val="18"/>
        </w:rPr>
        <w:softHyphen/>
      </w:r>
      <w:r w:rsidR="00E629AC" w:rsidRPr="00E629AC">
        <w:rPr>
          <w:rFonts w:ascii="Century Gothic" w:eastAsia="Century Gothic" w:hAnsi="Century Gothic" w:cs="Century Gothic"/>
          <w:sz w:val="18"/>
          <w:szCs w:val="18"/>
        </w:rPr>
        <w:t xml:space="preserve">ciadas con una percepción más equitativa del trato tributario, aunque la </w:t>
      </w:r>
      <w:r w:rsidR="00AE4C66">
        <w:rPr>
          <w:rFonts w:ascii="Century Gothic" w:eastAsia="Century Gothic" w:hAnsi="Century Gothic" w:cs="Century Gothic"/>
          <w:sz w:val="18"/>
          <w:szCs w:val="18"/>
        </w:rPr>
        <w:t>adopci</w:t>
      </w:r>
      <w:r w:rsidR="00E629AC" w:rsidRPr="00E629AC">
        <w:rPr>
          <w:rFonts w:ascii="Century Gothic" w:eastAsia="Century Gothic" w:hAnsi="Century Gothic" w:cs="Century Gothic"/>
          <w:sz w:val="18"/>
          <w:szCs w:val="18"/>
        </w:rPr>
        <w:t xml:space="preserve">ón y flexibilidad del régimen </w:t>
      </w:r>
      <w:r w:rsidR="00AE4C66">
        <w:rPr>
          <w:rFonts w:ascii="Century Gothic" w:eastAsia="Century Gothic" w:hAnsi="Century Gothic" w:cs="Century Gothic"/>
          <w:sz w:val="18"/>
          <w:szCs w:val="18"/>
        </w:rPr>
        <w:t>debe seguir mejorándose.</w:t>
      </w:r>
    </w:p>
    <w:p w14:paraId="75245995" w14:textId="77777777" w:rsidR="00AE4C66" w:rsidRDefault="00AE4C66" w:rsidP="00E629AC">
      <w:pPr>
        <w:jc w:val="both"/>
        <w:rPr>
          <w:rFonts w:ascii="Century Gothic" w:eastAsia="Century Gothic" w:hAnsi="Century Gothic" w:cs="Century Gothic"/>
          <w:sz w:val="18"/>
          <w:szCs w:val="18"/>
        </w:rPr>
      </w:pPr>
    </w:p>
    <w:p w14:paraId="1E469C83" w14:textId="26153E48" w:rsidR="00D843BD" w:rsidRDefault="001F7849" w:rsidP="00B2690B">
      <w:pPr>
        <w:rPr>
          <w:rFonts w:ascii="Century Gothic" w:eastAsia="Century Gothic" w:hAnsi="Century Gothic" w:cs="Century Gothic"/>
          <w:b/>
          <w:color w:val="393A6B"/>
          <w:sz w:val="18"/>
          <w:szCs w:val="18"/>
        </w:rPr>
      </w:pPr>
      <w:r w:rsidRPr="00B2690B">
        <w:rPr>
          <w:rFonts w:ascii="Century Gothic" w:eastAsia="Century Gothic" w:hAnsi="Century Gothic" w:cs="Century Gothic"/>
          <w:b/>
          <w:color w:val="393A6B"/>
          <w:sz w:val="18"/>
          <w:szCs w:val="18"/>
        </w:rPr>
        <w:t>CONCLUSIONES</w:t>
      </w:r>
    </w:p>
    <w:p w14:paraId="4B9B15A0" w14:textId="0FD3240E" w:rsidR="00C90B2B" w:rsidRDefault="00C06231" w:rsidP="0062675F">
      <w:pPr>
        <w:tabs>
          <w:tab w:val="center" w:pos="4252"/>
          <w:tab w:val="left" w:pos="7363"/>
        </w:tabs>
        <w:jc w:val="both"/>
        <w:rPr>
          <w:rFonts w:ascii="Century Gothic" w:eastAsia="Century Gothic" w:hAnsi="Century Gothic" w:cs="Century Gothic"/>
          <w:bCs/>
          <w:color w:val="000000" w:themeColor="text1"/>
          <w:sz w:val="18"/>
          <w:szCs w:val="18"/>
        </w:rPr>
      </w:pPr>
      <w:r w:rsidRPr="00446B51">
        <w:rPr>
          <w:rFonts w:ascii="Century Gothic" w:eastAsia="Century Gothic" w:hAnsi="Century Gothic" w:cs="Century Gothic"/>
          <w:bCs/>
          <w:color w:val="000000" w:themeColor="text1"/>
          <w:sz w:val="18"/>
          <w:szCs w:val="18"/>
        </w:rPr>
        <w:t>L</w:t>
      </w:r>
      <w:r w:rsidR="00C90B2B" w:rsidRPr="00446B51">
        <w:rPr>
          <w:rFonts w:ascii="Century Gothic" w:eastAsia="Century Gothic" w:hAnsi="Century Gothic" w:cs="Century Gothic"/>
          <w:bCs/>
          <w:color w:val="000000" w:themeColor="text1"/>
          <w:sz w:val="18"/>
          <w:szCs w:val="18"/>
        </w:rPr>
        <w:t>a repatriación de rentas no declaradas, la regularización de ingresos no declarados, los</w:t>
      </w:r>
      <w:r w:rsidR="00C90B2B" w:rsidRPr="00C90B2B">
        <w:rPr>
          <w:rFonts w:ascii="Century Gothic" w:eastAsia="Century Gothic" w:hAnsi="Century Gothic" w:cs="Century Gothic"/>
          <w:bCs/>
          <w:color w:val="000000" w:themeColor="text1"/>
          <w:sz w:val="18"/>
          <w:szCs w:val="18"/>
        </w:rPr>
        <w:t xml:space="preserve"> incentivos a la declaración y repatria</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ción, y las obligaciones fiscales y políticas tri</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butarias tienen una influencia significativa en el trato igualitario a los contribuyentes en Lima. Estas políticas son esenciales para for</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talecer el sistema tributario peruano, au</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mentar la recaudación y asegurar que to</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dos los contribuyentes sean tratados de ma</w:t>
      </w:r>
      <w:r w:rsidR="00E43DCC">
        <w:rPr>
          <w:rFonts w:ascii="Century Gothic" w:eastAsia="Century Gothic" w:hAnsi="Century Gothic" w:cs="Century Gothic"/>
          <w:bCs/>
          <w:color w:val="000000" w:themeColor="text1"/>
          <w:sz w:val="18"/>
          <w:szCs w:val="18"/>
        </w:rPr>
        <w:softHyphen/>
      </w:r>
      <w:r w:rsidR="00C90B2B" w:rsidRPr="00C90B2B">
        <w:rPr>
          <w:rFonts w:ascii="Century Gothic" w:eastAsia="Century Gothic" w:hAnsi="Century Gothic" w:cs="Century Gothic"/>
          <w:bCs/>
          <w:color w:val="000000" w:themeColor="text1"/>
          <w:sz w:val="18"/>
          <w:szCs w:val="18"/>
        </w:rPr>
        <w:t xml:space="preserve">nera justa y equitativa, contribuyendo así a la estabilidad y desarrollo económico del país. </w:t>
      </w:r>
    </w:p>
    <w:p w14:paraId="5A01BCCF" w14:textId="00E07652" w:rsidR="00C90B2B" w:rsidRDefault="00C90B2B" w:rsidP="0062675F">
      <w:pPr>
        <w:tabs>
          <w:tab w:val="center" w:pos="4252"/>
          <w:tab w:val="left" w:pos="7363"/>
        </w:tabs>
        <w:jc w:val="both"/>
        <w:rPr>
          <w:rFonts w:ascii="Century Gothic" w:eastAsia="Century Gothic" w:hAnsi="Century Gothic" w:cs="Century Gothic"/>
          <w:bCs/>
          <w:color w:val="000000" w:themeColor="text1"/>
          <w:sz w:val="18"/>
          <w:szCs w:val="18"/>
        </w:rPr>
      </w:pPr>
      <w:r>
        <w:rPr>
          <w:rFonts w:ascii="Century Gothic" w:eastAsia="Century Gothic" w:hAnsi="Century Gothic" w:cs="Century Gothic"/>
          <w:bCs/>
          <w:color w:val="000000" w:themeColor="text1"/>
          <w:sz w:val="18"/>
          <w:szCs w:val="18"/>
        </w:rPr>
        <w:t xml:space="preserve">En ese </w:t>
      </w:r>
      <w:r w:rsidR="003200ED">
        <w:rPr>
          <w:rFonts w:ascii="Century Gothic" w:eastAsia="Century Gothic" w:hAnsi="Century Gothic" w:cs="Century Gothic"/>
          <w:bCs/>
          <w:color w:val="000000" w:themeColor="text1"/>
          <w:sz w:val="18"/>
          <w:szCs w:val="18"/>
        </w:rPr>
        <w:t>sentido</w:t>
      </w:r>
      <w:r w:rsidRPr="00C90B2B">
        <w:rPr>
          <w:rFonts w:ascii="Century Gothic" w:eastAsia="Century Gothic" w:hAnsi="Century Gothic" w:cs="Century Gothic"/>
          <w:bCs/>
          <w:color w:val="000000" w:themeColor="text1"/>
          <w:sz w:val="18"/>
          <w:szCs w:val="18"/>
        </w:rPr>
        <w:t xml:space="preserve">, </w:t>
      </w:r>
      <w:r w:rsidR="003200ED">
        <w:rPr>
          <w:rFonts w:ascii="Century Gothic" w:eastAsia="Century Gothic" w:hAnsi="Century Gothic" w:cs="Century Gothic"/>
          <w:bCs/>
          <w:color w:val="000000" w:themeColor="text1"/>
          <w:sz w:val="18"/>
          <w:szCs w:val="18"/>
        </w:rPr>
        <w:t>e</w:t>
      </w:r>
      <w:r w:rsidRPr="00C90B2B">
        <w:rPr>
          <w:rFonts w:ascii="Century Gothic" w:eastAsia="Century Gothic" w:hAnsi="Century Gothic" w:cs="Century Gothic"/>
          <w:bCs/>
          <w:color w:val="000000" w:themeColor="text1"/>
          <w:sz w:val="18"/>
          <w:szCs w:val="18"/>
        </w:rPr>
        <w:t>l análisis del D</w:t>
      </w:r>
      <w:r w:rsidR="0037299F">
        <w:rPr>
          <w:rFonts w:ascii="Century Gothic" w:eastAsia="Century Gothic" w:hAnsi="Century Gothic" w:cs="Century Gothic"/>
          <w:bCs/>
          <w:color w:val="000000" w:themeColor="text1"/>
          <w:sz w:val="18"/>
          <w:szCs w:val="18"/>
        </w:rPr>
        <w:t>.</w:t>
      </w:r>
      <w:r w:rsidRPr="00C90B2B">
        <w:rPr>
          <w:rFonts w:ascii="Century Gothic" w:eastAsia="Century Gothic" w:hAnsi="Century Gothic" w:cs="Century Gothic"/>
          <w:bCs/>
          <w:color w:val="000000" w:themeColor="text1"/>
          <w:sz w:val="18"/>
          <w:szCs w:val="18"/>
        </w:rPr>
        <w:t>L</w:t>
      </w:r>
      <w:r w:rsidR="0037299F">
        <w:rPr>
          <w:rFonts w:ascii="Century Gothic" w:eastAsia="Century Gothic" w:hAnsi="Century Gothic" w:cs="Century Gothic"/>
          <w:bCs/>
          <w:color w:val="000000" w:themeColor="text1"/>
          <w:sz w:val="18"/>
          <w:szCs w:val="18"/>
        </w:rPr>
        <w:t>.</w:t>
      </w:r>
      <w:r w:rsidRPr="00C90B2B">
        <w:rPr>
          <w:rFonts w:ascii="Century Gothic" w:eastAsia="Century Gothic" w:hAnsi="Century Gothic" w:cs="Century Gothic"/>
          <w:bCs/>
          <w:color w:val="000000" w:themeColor="text1"/>
          <w:sz w:val="18"/>
          <w:szCs w:val="18"/>
        </w:rPr>
        <w:t xml:space="preserve"> N.° 1264 y su implementación revela importantes desafíos para la equidad y eficiencia del sis</w:t>
      </w:r>
      <w:r w:rsidR="00E43DCC">
        <w:rPr>
          <w:rFonts w:ascii="Century Gothic" w:eastAsia="Century Gothic" w:hAnsi="Century Gothic" w:cs="Century Gothic"/>
          <w:bCs/>
          <w:color w:val="000000" w:themeColor="text1"/>
          <w:sz w:val="18"/>
          <w:szCs w:val="18"/>
        </w:rPr>
        <w:softHyphen/>
      </w:r>
      <w:r w:rsidRPr="00C90B2B">
        <w:rPr>
          <w:rFonts w:ascii="Century Gothic" w:eastAsia="Century Gothic" w:hAnsi="Century Gothic" w:cs="Century Gothic"/>
          <w:bCs/>
          <w:color w:val="000000" w:themeColor="text1"/>
          <w:sz w:val="18"/>
          <w:szCs w:val="18"/>
        </w:rPr>
        <w:t>tema tributario peruano.</w:t>
      </w:r>
      <w:r w:rsidR="0037299F">
        <w:rPr>
          <w:rFonts w:ascii="Century Gothic" w:eastAsia="Century Gothic" w:hAnsi="Century Gothic" w:cs="Century Gothic"/>
          <w:bCs/>
          <w:color w:val="000000" w:themeColor="text1"/>
          <w:sz w:val="18"/>
          <w:szCs w:val="18"/>
        </w:rPr>
        <w:t xml:space="preserve"> Asimismo, l</w:t>
      </w:r>
      <w:r w:rsidRPr="00C90B2B">
        <w:rPr>
          <w:rFonts w:ascii="Century Gothic" w:eastAsia="Century Gothic" w:hAnsi="Century Gothic" w:cs="Century Gothic"/>
          <w:bCs/>
          <w:color w:val="000000" w:themeColor="text1"/>
          <w:sz w:val="18"/>
          <w:szCs w:val="18"/>
        </w:rPr>
        <w:t>a dife</w:t>
      </w:r>
      <w:r w:rsidR="00E43DCC">
        <w:rPr>
          <w:rFonts w:ascii="Century Gothic" w:eastAsia="Century Gothic" w:hAnsi="Century Gothic" w:cs="Century Gothic"/>
          <w:bCs/>
          <w:color w:val="000000" w:themeColor="text1"/>
          <w:sz w:val="18"/>
          <w:szCs w:val="18"/>
        </w:rPr>
        <w:softHyphen/>
      </w:r>
      <w:r w:rsidRPr="00C90B2B">
        <w:rPr>
          <w:rFonts w:ascii="Century Gothic" w:eastAsia="Century Gothic" w:hAnsi="Century Gothic" w:cs="Century Gothic"/>
          <w:bCs/>
          <w:color w:val="000000" w:themeColor="text1"/>
          <w:sz w:val="18"/>
          <w:szCs w:val="18"/>
        </w:rPr>
        <w:t>renciación en las tasas impositivas y la posi</w:t>
      </w:r>
      <w:r w:rsidR="00E43DCC">
        <w:rPr>
          <w:rFonts w:ascii="Century Gothic" w:eastAsia="Century Gothic" w:hAnsi="Century Gothic" w:cs="Century Gothic"/>
          <w:bCs/>
          <w:color w:val="000000" w:themeColor="text1"/>
          <w:sz w:val="18"/>
          <w:szCs w:val="18"/>
        </w:rPr>
        <w:softHyphen/>
      </w:r>
      <w:r w:rsidRPr="00C90B2B">
        <w:rPr>
          <w:rFonts w:ascii="Century Gothic" w:eastAsia="Century Gothic" w:hAnsi="Century Gothic" w:cs="Century Gothic"/>
          <w:bCs/>
          <w:color w:val="000000" w:themeColor="text1"/>
          <w:sz w:val="18"/>
          <w:szCs w:val="18"/>
        </w:rPr>
        <w:t>bilidad de ocultación de rentas mediante terceros pueden generar percepciones de injusticia y favorecer la elusión fiscal. Para abordar estos problemas, es fundamental revisar y ajustar las políticas actuales, asegu</w:t>
      </w:r>
      <w:r w:rsidR="00E43DCC">
        <w:rPr>
          <w:rFonts w:ascii="Century Gothic" w:eastAsia="Century Gothic" w:hAnsi="Century Gothic" w:cs="Century Gothic"/>
          <w:bCs/>
          <w:color w:val="000000" w:themeColor="text1"/>
          <w:sz w:val="18"/>
          <w:szCs w:val="18"/>
        </w:rPr>
        <w:softHyphen/>
      </w:r>
      <w:r w:rsidRPr="00C90B2B">
        <w:rPr>
          <w:rFonts w:ascii="Century Gothic" w:eastAsia="Century Gothic" w:hAnsi="Century Gothic" w:cs="Century Gothic"/>
          <w:bCs/>
          <w:color w:val="000000" w:themeColor="text1"/>
          <w:sz w:val="18"/>
          <w:szCs w:val="18"/>
        </w:rPr>
        <w:t>rando que promuevan un trato igualitario y fomenten una cultura de cumplimiento fis</w:t>
      </w:r>
      <w:r w:rsidR="00E43DCC">
        <w:rPr>
          <w:rFonts w:ascii="Century Gothic" w:eastAsia="Century Gothic" w:hAnsi="Century Gothic" w:cs="Century Gothic"/>
          <w:bCs/>
          <w:color w:val="000000" w:themeColor="text1"/>
          <w:sz w:val="18"/>
          <w:szCs w:val="18"/>
        </w:rPr>
        <w:softHyphen/>
      </w:r>
      <w:r w:rsidRPr="00C90B2B">
        <w:rPr>
          <w:rFonts w:ascii="Century Gothic" w:eastAsia="Century Gothic" w:hAnsi="Century Gothic" w:cs="Century Gothic"/>
          <w:bCs/>
          <w:color w:val="000000" w:themeColor="text1"/>
          <w:sz w:val="18"/>
          <w:szCs w:val="18"/>
        </w:rPr>
        <w:t>cal voluntario y consciente entre todos los contribuyentes.</w:t>
      </w:r>
    </w:p>
    <w:p w14:paraId="6BDC2DB5" w14:textId="77777777" w:rsidR="00E04223" w:rsidRDefault="00E04223" w:rsidP="0062675F">
      <w:pPr>
        <w:tabs>
          <w:tab w:val="center" w:pos="4252"/>
          <w:tab w:val="left" w:pos="7363"/>
        </w:tabs>
        <w:jc w:val="both"/>
        <w:rPr>
          <w:rFonts w:ascii="Century Gothic" w:eastAsia="Century Gothic" w:hAnsi="Century Gothic" w:cs="Century Gothic"/>
          <w:bCs/>
          <w:color w:val="000000" w:themeColor="text1"/>
          <w:sz w:val="18"/>
          <w:szCs w:val="18"/>
        </w:rPr>
      </w:pPr>
    </w:p>
    <w:p w14:paraId="6B20A64A" w14:textId="77777777" w:rsidR="006A699E" w:rsidRPr="00E43DCC" w:rsidRDefault="006A699E" w:rsidP="006A699E">
      <w:pPr>
        <w:jc w:val="both"/>
        <w:rPr>
          <w:rFonts w:ascii="Century Gothic" w:eastAsia="Century Gothic" w:hAnsi="Century Gothic" w:cs="Century Gothic"/>
          <w:b/>
          <w:color w:val="393A6B"/>
          <w:sz w:val="14"/>
          <w:szCs w:val="14"/>
          <w:highlight w:val="white"/>
        </w:rPr>
      </w:pPr>
      <w:r w:rsidRPr="00E43DCC">
        <w:rPr>
          <w:rFonts w:ascii="Century Gothic" w:eastAsia="Century Gothic" w:hAnsi="Century Gothic" w:cs="Century Gothic"/>
          <w:b/>
          <w:color w:val="393A6B"/>
          <w:sz w:val="14"/>
          <w:szCs w:val="14"/>
          <w:highlight w:val="white"/>
        </w:rPr>
        <w:t>AGRADECIMIENTOS</w:t>
      </w:r>
    </w:p>
    <w:p w14:paraId="5E986779" w14:textId="77777777" w:rsidR="006A699E" w:rsidRPr="00E43DCC" w:rsidRDefault="006A699E" w:rsidP="006A699E">
      <w:pPr>
        <w:jc w:val="both"/>
        <w:rPr>
          <w:rFonts w:ascii="Century Gothic" w:eastAsia="Century Gothic" w:hAnsi="Century Gothic" w:cs="Century Gothic"/>
          <w:b/>
          <w:color w:val="393A6B"/>
          <w:sz w:val="4"/>
          <w:szCs w:val="4"/>
          <w:highlight w:val="white"/>
        </w:rPr>
      </w:pPr>
    </w:p>
    <w:p w14:paraId="17C66E97" w14:textId="19C03521" w:rsidR="006A699E" w:rsidRPr="00E43DCC" w:rsidRDefault="006A699E" w:rsidP="006A699E">
      <w:pPr>
        <w:jc w:val="both"/>
        <w:rPr>
          <w:rFonts w:ascii="Century Gothic" w:eastAsia="Century Gothic" w:hAnsi="Century Gothic" w:cs="Century Gothic"/>
          <w:color w:val="000000"/>
          <w:sz w:val="14"/>
          <w:szCs w:val="14"/>
          <w:highlight w:val="white"/>
        </w:rPr>
      </w:pPr>
      <w:r w:rsidRPr="00E43DCC">
        <w:rPr>
          <w:rFonts w:ascii="Century Gothic" w:eastAsia="Century Gothic" w:hAnsi="Century Gothic" w:cs="Century Gothic"/>
          <w:color w:val="000000"/>
          <w:sz w:val="14"/>
          <w:szCs w:val="14"/>
        </w:rPr>
        <w:t>Al Mg. Jhoansson Victor Manuel Quilia Valerio por su invaluable asesoría y orientación a lo largo de del desarrollo de la investigación. Su expertise y conocimiento fueron fundamentales para la culminación de este estudio. Agradezco también a todos los colaboradores de la Intendencia de Lima por su cooperación y disposición para participar en las encuestas, así como a la SUNAT por su colaboración institucional. Sin su contribución, este trabajo no habría sido posible.</w:t>
      </w:r>
    </w:p>
    <w:p w14:paraId="070BCF69" w14:textId="77777777" w:rsidR="006A699E" w:rsidRDefault="006A699E">
      <w:pPr>
        <w:tabs>
          <w:tab w:val="center" w:pos="4252"/>
          <w:tab w:val="left" w:pos="7363"/>
        </w:tabs>
        <w:rPr>
          <w:rFonts w:ascii="Century Gothic" w:eastAsia="Century Gothic" w:hAnsi="Century Gothic" w:cs="Century Gothic"/>
          <w:b/>
          <w:color w:val="393A6B"/>
          <w:sz w:val="16"/>
          <w:szCs w:val="16"/>
          <w:lang w:val="es-MX"/>
        </w:rPr>
      </w:pPr>
    </w:p>
    <w:p w14:paraId="141D95E2" w14:textId="0052E445" w:rsidR="00D843BD" w:rsidRPr="00084639" w:rsidRDefault="001F7849">
      <w:pPr>
        <w:tabs>
          <w:tab w:val="center" w:pos="4252"/>
          <w:tab w:val="left" w:pos="7363"/>
        </w:tabs>
        <w:rPr>
          <w:rFonts w:ascii="Century Gothic" w:eastAsia="Century Gothic" w:hAnsi="Century Gothic" w:cs="Century Gothic"/>
          <w:b/>
          <w:color w:val="393A6B"/>
          <w:sz w:val="16"/>
          <w:szCs w:val="16"/>
          <w:lang w:val="es-MX"/>
        </w:rPr>
      </w:pPr>
      <w:r w:rsidRPr="00084639">
        <w:rPr>
          <w:rFonts w:ascii="Century Gothic" w:eastAsia="Century Gothic" w:hAnsi="Century Gothic" w:cs="Century Gothic"/>
          <w:b/>
          <w:color w:val="393A6B"/>
          <w:sz w:val="16"/>
          <w:szCs w:val="16"/>
          <w:lang w:val="es-MX"/>
        </w:rPr>
        <w:t>REFERENCIAS BIBLIOGRÁFICAS</w:t>
      </w:r>
    </w:p>
    <w:p w14:paraId="1F727210" w14:textId="77777777" w:rsidR="00E04223" w:rsidRPr="00084639" w:rsidRDefault="00E04223">
      <w:pPr>
        <w:tabs>
          <w:tab w:val="center" w:pos="4252"/>
          <w:tab w:val="left" w:pos="7363"/>
        </w:tabs>
        <w:rPr>
          <w:rFonts w:ascii="Century Gothic" w:eastAsia="Century Gothic" w:hAnsi="Century Gothic" w:cs="Century Gothic"/>
          <w:b/>
          <w:color w:val="393A6B"/>
          <w:sz w:val="16"/>
          <w:szCs w:val="16"/>
          <w:lang w:val="es-MX"/>
        </w:rPr>
      </w:pPr>
    </w:p>
    <w:p w14:paraId="6734B109" w14:textId="636DB362" w:rsidR="00E26502" w:rsidRPr="00E43DCC" w:rsidRDefault="00E26502" w:rsidP="00C250E2">
      <w:pPr>
        <w:tabs>
          <w:tab w:val="left" w:pos="0"/>
        </w:tabs>
        <w:ind w:left="284" w:hanging="284"/>
        <w:contextualSpacing/>
        <w:jc w:val="both"/>
        <w:rPr>
          <w:rFonts w:ascii="Century Gothic" w:hAnsi="Century Gothic" w:cs="Arial"/>
          <w:sz w:val="14"/>
          <w:szCs w:val="14"/>
          <w:lang w:val="en-US"/>
        </w:rPr>
      </w:pPr>
      <w:bookmarkStart w:id="0" w:name="_Hlk172631753"/>
      <w:r w:rsidRPr="00E43DCC">
        <w:rPr>
          <w:rFonts w:ascii="Century Gothic" w:hAnsi="Century Gothic" w:cs="Arial"/>
          <w:sz w:val="14"/>
          <w:szCs w:val="14"/>
          <w:lang w:val="es-PE"/>
        </w:rPr>
        <w:t xml:space="preserve">Abdurrahmani, E.,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Doğan, Z. (2019). </w:t>
      </w:r>
      <w:r w:rsidRPr="00E43DCC">
        <w:rPr>
          <w:rFonts w:ascii="Century Gothic" w:hAnsi="Century Gothic" w:cs="Arial"/>
          <w:sz w:val="14"/>
          <w:szCs w:val="14"/>
          <w:lang w:val="en-US"/>
        </w:rPr>
        <w:t xml:space="preserve">Required Practices for Successful Tax Amnesty: Kosovo Case Enis. </w:t>
      </w:r>
      <w:r w:rsidRPr="00E43DCC">
        <w:rPr>
          <w:rFonts w:ascii="Century Gothic" w:hAnsi="Century Gothic" w:cs="Arial"/>
          <w:i/>
          <w:iCs/>
          <w:sz w:val="14"/>
          <w:szCs w:val="14"/>
          <w:lang w:val="en-US"/>
        </w:rPr>
        <w:t>Journal of Economics and Management Sciences</w:t>
      </w:r>
      <w:r w:rsidRPr="00E43DCC">
        <w:rPr>
          <w:rFonts w:ascii="Century Gothic" w:hAnsi="Century Gothic" w:cs="Arial"/>
          <w:sz w:val="14"/>
          <w:szCs w:val="14"/>
          <w:lang w:val="en-US"/>
        </w:rPr>
        <w:t xml:space="preserve">, 2(3), 1–13. </w:t>
      </w:r>
      <w:hyperlink r:id="rId16" w:history="1">
        <w:r w:rsidRPr="00E43DCC">
          <w:rPr>
            <w:rStyle w:val="Hipervnculo"/>
            <w:rFonts w:ascii="Century Gothic" w:hAnsi="Century Gothic" w:cs="Arial"/>
            <w:color w:val="auto"/>
            <w:sz w:val="14"/>
            <w:szCs w:val="14"/>
            <w:u w:val="none"/>
            <w:lang w:val="en-US"/>
          </w:rPr>
          <w:t>https://doi.org/10.30560/jems.v2n3p</w:t>
        </w:r>
      </w:hyperlink>
    </w:p>
    <w:p w14:paraId="74B4BB36" w14:textId="048B186D" w:rsidR="00683DE6" w:rsidRPr="00E43DCC" w:rsidRDefault="00683DE6" w:rsidP="00C250E2">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Castañeda, C. (2017a). Una revisión al regimen de repatriación de capitales establecido por el Decreto Legislativo N° 1264. Algunos puntos por resolver. XIII Jornadas Nacionales de Derecho Tributario </w:t>
      </w:r>
      <w:hyperlink r:id="rId17" w:history="1">
        <w:r w:rsidRPr="00E43DCC">
          <w:rPr>
            <w:rStyle w:val="Hipervnculo"/>
            <w:rFonts w:ascii="Century Gothic" w:hAnsi="Century Gothic" w:cs="Arial"/>
            <w:color w:val="auto"/>
            <w:sz w:val="14"/>
            <w:szCs w:val="14"/>
            <w:u w:val="none"/>
            <w:lang w:val="es-PE"/>
          </w:rPr>
          <w:t>https://www.ipdt.org/uploads/docs/05_Rev62_CCG.pdf</w:t>
        </w:r>
      </w:hyperlink>
    </w:p>
    <w:p w14:paraId="547EF942" w14:textId="77777777" w:rsidR="00683DE6" w:rsidRPr="00E43DCC" w:rsidRDefault="00683DE6" w:rsidP="00C250E2">
      <w:pPr>
        <w:tabs>
          <w:tab w:val="left" w:pos="0"/>
        </w:tabs>
        <w:ind w:left="284" w:hanging="284"/>
        <w:contextualSpacing/>
        <w:jc w:val="both"/>
        <w:rPr>
          <w:rFonts w:ascii="Century Gothic" w:eastAsia="Century Gothic" w:hAnsi="Century Gothic"/>
          <w:sz w:val="14"/>
          <w:szCs w:val="14"/>
          <w:lang w:val="es-PE"/>
        </w:rPr>
      </w:pPr>
      <w:r w:rsidRPr="00E43DCC">
        <w:rPr>
          <w:rFonts w:ascii="Century Gothic" w:eastAsia="Century Gothic" w:hAnsi="Century Gothic"/>
          <w:sz w:val="14"/>
          <w:szCs w:val="14"/>
          <w:lang w:val="es-PE"/>
        </w:rPr>
        <w:t xml:space="preserve">Castañeda, V. (2017b). La equidad del sistema tributario y su relación con la moral tributaria. Un estudio para América Latina. </w:t>
      </w:r>
      <w:r w:rsidRPr="00E43DCC">
        <w:rPr>
          <w:rFonts w:ascii="Century Gothic" w:eastAsia="Century Gothic" w:hAnsi="Century Gothic"/>
          <w:i/>
          <w:iCs/>
          <w:sz w:val="14"/>
          <w:szCs w:val="14"/>
          <w:lang w:val="es-PE"/>
        </w:rPr>
        <w:t>Investigación económica</w:t>
      </w:r>
      <w:r w:rsidRPr="00E43DCC">
        <w:rPr>
          <w:rFonts w:ascii="Century Gothic" w:eastAsia="Century Gothic" w:hAnsi="Century Gothic"/>
          <w:sz w:val="14"/>
          <w:szCs w:val="14"/>
          <w:lang w:val="es-PE"/>
        </w:rPr>
        <w:t xml:space="preserve">, 76(299), 125–152. </w:t>
      </w:r>
      <w:hyperlink r:id="rId18" w:history="1">
        <w:r w:rsidRPr="00E43DCC">
          <w:rPr>
            <w:rStyle w:val="Hipervnculo"/>
            <w:rFonts w:ascii="Century Gothic" w:eastAsia="Century Gothic" w:hAnsi="Century Gothic"/>
            <w:color w:val="auto"/>
            <w:sz w:val="14"/>
            <w:szCs w:val="14"/>
            <w:u w:val="none"/>
            <w:lang w:val="es-PE"/>
          </w:rPr>
          <w:t>https://doi.org/10.1016/j.inveco.2017.02.002</w:t>
        </w:r>
      </w:hyperlink>
    </w:p>
    <w:p w14:paraId="262D2F85" w14:textId="2663C939" w:rsidR="00683DE6" w:rsidRPr="00E43DCC" w:rsidRDefault="00683DE6" w:rsidP="0037299F">
      <w:pPr>
        <w:tabs>
          <w:tab w:val="left" w:pos="0"/>
        </w:tabs>
        <w:ind w:left="284" w:hanging="284"/>
        <w:contextualSpacing/>
        <w:jc w:val="both"/>
        <w:rPr>
          <w:rFonts w:ascii="Century Gothic" w:eastAsia="Century Gothic" w:hAnsi="Century Gothic"/>
          <w:sz w:val="14"/>
          <w:szCs w:val="14"/>
          <w:lang w:val="es-PE"/>
        </w:rPr>
      </w:pPr>
      <w:r w:rsidRPr="00E43DCC">
        <w:rPr>
          <w:rFonts w:ascii="Century Gothic" w:eastAsia="Century Gothic" w:hAnsi="Century Gothic"/>
          <w:sz w:val="14"/>
          <w:szCs w:val="14"/>
          <w:lang w:val="es-PE"/>
        </w:rPr>
        <w:t xml:space="preserve">Cavero, N. </w:t>
      </w:r>
      <w:r w:rsidR="000E6966" w:rsidRPr="00E43DCC">
        <w:rPr>
          <w:rFonts w:ascii="Century Gothic" w:eastAsia="Century Gothic" w:hAnsi="Century Gothic"/>
          <w:sz w:val="14"/>
          <w:szCs w:val="14"/>
          <w:lang w:val="es-PE"/>
        </w:rPr>
        <w:t>y</w:t>
      </w:r>
      <w:r w:rsidRPr="00E43DCC">
        <w:rPr>
          <w:rFonts w:ascii="Century Gothic" w:eastAsia="Century Gothic" w:hAnsi="Century Gothic"/>
          <w:sz w:val="14"/>
          <w:szCs w:val="14"/>
          <w:lang w:val="es-PE"/>
        </w:rPr>
        <w:t xml:space="preserve"> Huaichao, M. (2022). </w:t>
      </w:r>
      <w:r w:rsidRPr="00E43DCC">
        <w:rPr>
          <w:rFonts w:ascii="Century Gothic" w:eastAsia="Century Gothic" w:hAnsi="Century Gothic"/>
          <w:i/>
          <w:iCs/>
          <w:sz w:val="14"/>
          <w:szCs w:val="14"/>
          <w:lang w:val="es-PE"/>
        </w:rPr>
        <w:t>Rentas no declaradas y el incremento patrimonial no justificado en las personas naturales del distrito de Tambopata, año 2020</w:t>
      </w:r>
      <w:r w:rsidRPr="00E43DCC">
        <w:rPr>
          <w:rFonts w:ascii="Century Gothic" w:eastAsia="Century Gothic" w:hAnsi="Century Gothic"/>
          <w:sz w:val="14"/>
          <w:szCs w:val="14"/>
          <w:lang w:val="es-PE"/>
        </w:rPr>
        <w:t>. [Tesis título profesional, Universidad Nacional Amazonica de Madre de Dios].</w:t>
      </w:r>
    </w:p>
    <w:p w14:paraId="38AA8CC8" w14:textId="77777777"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Decreto Legislativo N.° 1264</w:t>
      </w:r>
      <w:r w:rsidRPr="00E43DCC">
        <w:rPr>
          <w:rFonts w:ascii="Century Gothic" w:hAnsi="Century Gothic"/>
          <w:sz w:val="14"/>
          <w:szCs w:val="14"/>
        </w:rPr>
        <w:t xml:space="preserve"> </w:t>
      </w:r>
      <w:r w:rsidRPr="00E43DCC">
        <w:rPr>
          <w:rFonts w:ascii="Century Gothic" w:hAnsi="Century Gothic" w:cs="Arial"/>
          <w:sz w:val="14"/>
          <w:szCs w:val="14"/>
          <w:lang w:val="es-PE"/>
        </w:rPr>
        <w:t xml:space="preserve">Decreto Legislativo que establece un régimen temporal y sustitutorio del </w:t>
      </w:r>
      <w:r w:rsidRPr="00E43DCC">
        <w:rPr>
          <w:rFonts w:ascii="Century Gothic" w:hAnsi="Century Gothic" w:cs="Arial"/>
          <w:sz w:val="14"/>
          <w:szCs w:val="14"/>
          <w:lang w:val="es-PE"/>
        </w:rPr>
        <w:lastRenderedPageBreak/>
        <w:t>impuesto a la renta para la declaración, repatriación e inversión de rentas no declaradas.</w:t>
      </w:r>
      <w:r w:rsidRPr="00E43DCC">
        <w:rPr>
          <w:rFonts w:ascii="Century Gothic" w:hAnsi="Century Gothic"/>
          <w:sz w:val="14"/>
          <w:szCs w:val="14"/>
        </w:rPr>
        <w:t xml:space="preserve"> </w:t>
      </w:r>
      <w:hyperlink r:id="rId19" w:history="1">
        <w:r w:rsidRPr="00E43DCC">
          <w:rPr>
            <w:rStyle w:val="Hipervnculo"/>
            <w:rFonts w:ascii="Century Gothic" w:hAnsi="Century Gothic" w:cs="Arial"/>
            <w:color w:val="auto"/>
            <w:sz w:val="14"/>
            <w:szCs w:val="14"/>
            <w:u w:val="none"/>
            <w:lang w:val="es-PE"/>
          </w:rPr>
          <w:t>https://infopublic.bpaprocorp.com/banco-de-leyes/decreto-legislativo-1264</w:t>
        </w:r>
      </w:hyperlink>
    </w:p>
    <w:p w14:paraId="01E7B8C4" w14:textId="4180BE7E"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Del Pezo, P. (2021). </w:t>
      </w:r>
      <w:r w:rsidRPr="00E43DCC">
        <w:rPr>
          <w:rFonts w:ascii="Century Gothic" w:hAnsi="Century Gothic" w:cs="Arial"/>
          <w:i/>
          <w:iCs/>
          <w:sz w:val="14"/>
          <w:szCs w:val="14"/>
          <w:lang w:val="es-PE"/>
        </w:rPr>
        <w:t>Repatriación de capitales, como una medida de sinceramiento fiscal por parte del sujeto pasivo</w:t>
      </w:r>
      <w:r w:rsidRPr="00E43DCC">
        <w:rPr>
          <w:rFonts w:ascii="Century Gothic" w:hAnsi="Century Gothic" w:cs="Arial"/>
          <w:sz w:val="14"/>
          <w:szCs w:val="14"/>
          <w:lang w:val="es-PE"/>
        </w:rPr>
        <w:t xml:space="preserve"> [Tesis título profesional, Universidad Católica de Santiago de Guayaquil]. </w:t>
      </w:r>
      <w:hyperlink r:id="rId20" w:history="1">
        <w:r w:rsidRPr="00E43DCC">
          <w:rPr>
            <w:rStyle w:val="Hipervnculo"/>
            <w:rFonts w:ascii="Century Gothic" w:hAnsi="Century Gothic" w:cs="Arial"/>
            <w:color w:val="auto"/>
            <w:sz w:val="14"/>
            <w:szCs w:val="14"/>
            <w:u w:val="none"/>
            <w:lang w:val="es-PE"/>
          </w:rPr>
          <w:t>http://repositorio.ucsg.edu.ec/handle/3317/16347</w:t>
        </w:r>
      </w:hyperlink>
    </w:p>
    <w:p w14:paraId="0FFFFC9D" w14:textId="64189892"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Diaz, N.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Niquen, K. (2019). </w:t>
      </w:r>
      <w:r w:rsidRPr="00E43DCC">
        <w:rPr>
          <w:rFonts w:ascii="Century Gothic" w:hAnsi="Century Gothic" w:cs="Arial"/>
          <w:i/>
          <w:iCs/>
          <w:sz w:val="14"/>
          <w:szCs w:val="14"/>
          <w:lang w:val="es-PE"/>
        </w:rPr>
        <w:t>Eficiencia tributaria con la dación del Decreto Legislativo Nº 1264-Repatriación de capitales en la recaudación tributaria en la Región Lambayeque durante el año 2017</w:t>
      </w:r>
      <w:r w:rsidRPr="00E43DCC">
        <w:rPr>
          <w:rFonts w:ascii="Century Gothic" w:hAnsi="Century Gothic" w:cs="Arial"/>
          <w:sz w:val="14"/>
          <w:szCs w:val="14"/>
          <w:lang w:val="es-PE"/>
        </w:rPr>
        <w:t xml:space="preserve"> [Tesis título profesional, Universidad Católica Santo Toribio de Mogrovejo]. </w:t>
      </w:r>
      <w:hyperlink r:id="rId21" w:history="1">
        <w:r w:rsidRPr="00E43DCC">
          <w:rPr>
            <w:rStyle w:val="Hipervnculo"/>
            <w:rFonts w:ascii="Century Gothic" w:hAnsi="Century Gothic" w:cs="Arial"/>
            <w:color w:val="auto"/>
            <w:sz w:val="14"/>
            <w:szCs w:val="14"/>
            <w:u w:val="none"/>
            <w:lang w:val="es-PE"/>
          </w:rPr>
          <w:t>http://hdl.handle.net/20.500.12423/2181</w:t>
        </w:r>
      </w:hyperlink>
    </w:p>
    <w:p w14:paraId="6A8ADEDC" w14:textId="0318D120" w:rsidR="00683DE6" w:rsidRPr="00E43DCC" w:rsidRDefault="00683DE6" w:rsidP="0037299F">
      <w:pPr>
        <w:tabs>
          <w:tab w:val="left" w:pos="0"/>
        </w:tabs>
        <w:ind w:left="284" w:hanging="284"/>
        <w:contextualSpacing/>
        <w:jc w:val="both"/>
        <w:rPr>
          <w:rFonts w:ascii="Century Gothic" w:eastAsia="Century Gothic" w:hAnsi="Century Gothic"/>
          <w:sz w:val="14"/>
          <w:szCs w:val="14"/>
          <w:lang w:val="es-PE"/>
        </w:rPr>
      </w:pPr>
      <w:r w:rsidRPr="00E43DCC">
        <w:rPr>
          <w:rFonts w:ascii="Century Gothic" w:eastAsia="Century Gothic" w:hAnsi="Century Gothic"/>
          <w:sz w:val="14"/>
          <w:szCs w:val="14"/>
          <w:lang w:val="es-PE"/>
        </w:rPr>
        <w:t xml:space="preserve">Gallardo, L. (2019). </w:t>
      </w:r>
      <w:r w:rsidRPr="00E43DCC">
        <w:rPr>
          <w:rFonts w:ascii="Century Gothic" w:eastAsia="Century Gothic" w:hAnsi="Century Gothic"/>
          <w:i/>
          <w:iCs/>
          <w:sz w:val="14"/>
          <w:szCs w:val="14"/>
          <w:lang w:val="es-PE"/>
        </w:rPr>
        <w:t>El régimen sustitutorio del impuesto a la renta y su incidencia en el incremento patrimonial no justificado</w:t>
      </w:r>
      <w:r w:rsidRPr="00E43DCC">
        <w:rPr>
          <w:rFonts w:ascii="Century Gothic" w:eastAsia="Century Gothic" w:hAnsi="Century Gothic"/>
          <w:sz w:val="14"/>
          <w:szCs w:val="14"/>
          <w:lang w:val="es-PE"/>
        </w:rPr>
        <w:t xml:space="preserve"> [Tesis título profesional, Universidad Católica Santo Toribio de Mogrovejo]. </w:t>
      </w:r>
      <w:hyperlink r:id="rId22" w:history="1">
        <w:r w:rsidRPr="00E43DCC">
          <w:rPr>
            <w:rStyle w:val="Hipervnculo"/>
            <w:rFonts w:ascii="Century Gothic" w:eastAsia="Century Gothic" w:hAnsi="Century Gothic"/>
            <w:color w:val="auto"/>
            <w:sz w:val="14"/>
            <w:szCs w:val="14"/>
            <w:u w:val="none"/>
            <w:lang w:val="es-PE"/>
          </w:rPr>
          <w:t>http://hdl.handle.net/20.500.12423/2283</w:t>
        </w:r>
      </w:hyperlink>
    </w:p>
    <w:p w14:paraId="5508E65C" w14:textId="5828431F" w:rsidR="00555EEF" w:rsidRPr="00E43DCC" w:rsidRDefault="00555EEF" w:rsidP="00BD198B">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Gonzáles, M. (2023). Repatriación de capitales. Thomson Reuters. </w:t>
      </w:r>
      <w:hyperlink r:id="rId23" w:history="1">
        <w:r w:rsidRPr="00E43DCC">
          <w:rPr>
            <w:rStyle w:val="Hipervnculo"/>
            <w:rFonts w:ascii="Century Gothic" w:hAnsi="Century Gothic" w:cs="Arial"/>
            <w:color w:val="auto"/>
            <w:sz w:val="14"/>
            <w:szCs w:val="14"/>
            <w:u w:val="none"/>
            <w:lang w:val="es-PE"/>
          </w:rPr>
          <w:t>https://www.anefac.org.mx/descargas/publicaciones/Articulo_ManuelGonzalez_Ene23.pdf</w:t>
        </w:r>
      </w:hyperlink>
    </w:p>
    <w:p w14:paraId="480D909D" w14:textId="4659CEA0" w:rsidR="00520073" w:rsidRPr="00E43DCC" w:rsidRDefault="00520073" w:rsidP="00BD198B">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Hadipryanto, J., Sarah, S., Nuryanti, T., Yeni, Y., Ramadhony, R.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Adhikara, A. </w:t>
      </w:r>
      <w:r w:rsidR="00E26502" w:rsidRPr="00E43DCC">
        <w:rPr>
          <w:rFonts w:ascii="Century Gothic" w:hAnsi="Century Gothic" w:cs="Arial"/>
          <w:sz w:val="14"/>
          <w:szCs w:val="14"/>
          <w:lang w:val="es-PE"/>
        </w:rPr>
        <w:t>(</w:t>
      </w:r>
      <w:r w:rsidRPr="00E43DCC">
        <w:rPr>
          <w:rFonts w:ascii="Century Gothic" w:hAnsi="Century Gothic" w:cs="Arial"/>
          <w:sz w:val="14"/>
          <w:szCs w:val="14"/>
          <w:lang w:val="es-PE"/>
        </w:rPr>
        <w:t>2023</w:t>
      </w:r>
      <w:r w:rsidR="00E26502" w:rsidRPr="00E43DCC">
        <w:rPr>
          <w:rFonts w:ascii="Century Gothic" w:hAnsi="Century Gothic" w:cs="Arial"/>
          <w:sz w:val="14"/>
          <w:szCs w:val="14"/>
          <w:lang w:val="es-PE"/>
        </w:rPr>
        <w:t>)</w:t>
      </w:r>
      <w:r w:rsidRPr="00E43DCC">
        <w:rPr>
          <w:rFonts w:ascii="Century Gothic" w:hAnsi="Century Gothic" w:cs="Arial"/>
          <w:sz w:val="14"/>
          <w:szCs w:val="14"/>
          <w:lang w:val="es-PE"/>
        </w:rPr>
        <w:t>.</w:t>
      </w:r>
      <w:r w:rsidR="0039303F" w:rsidRPr="00E43DCC">
        <w:rPr>
          <w:rFonts w:ascii="Century Gothic" w:hAnsi="Century Gothic" w:cs="Arial"/>
          <w:sz w:val="14"/>
          <w:szCs w:val="14"/>
          <w:lang w:val="es-PE"/>
        </w:rPr>
        <w:t xml:space="preserve"> </w:t>
      </w:r>
      <w:r w:rsidR="00E26502" w:rsidRPr="00E43DCC">
        <w:rPr>
          <w:rFonts w:ascii="Century Gothic" w:hAnsi="Century Gothic" w:cs="Arial"/>
          <w:sz w:val="14"/>
          <w:szCs w:val="14"/>
          <w:lang w:val="en-US"/>
        </w:rPr>
        <w:t>Analysis of tax amnesty implementation in tax revenue in Asian region countries</w:t>
      </w:r>
      <w:r w:rsidRPr="00E43DCC">
        <w:rPr>
          <w:rFonts w:ascii="Century Gothic" w:hAnsi="Century Gothic" w:cs="Arial"/>
          <w:sz w:val="14"/>
          <w:szCs w:val="14"/>
          <w:lang w:val="en-US"/>
        </w:rPr>
        <w:t xml:space="preserve">. </w:t>
      </w:r>
      <w:r w:rsidRPr="00E43DCC">
        <w:rPr>
          <w:rFonts w:ascii="Century Gothic" w:hAnsi="Century Gothic" w:cs="Arial"/>
          <w:i/>
          <w:iCs/>
          <w:sz w:val="14"/>
          <w:szCs w:val="14"/>
          <w:lang w:val="es-PE"/>
        </w:rPr>
        <w:t>Riset: Jurnal Aplikasi Ekonomi Akuntansi dan Bisnis</w:t>
      </w:r>
      <w:r w:rsidRPr="00E43DCC">
        <w:rPr>
          <w:rFonts w:ascii="Century Gothic" w:hAnsi="Century Gothic" w:cs="Arial"/>
          <w:sz w:val="14"/>
          <w:szCs w:val="14"/>
          <w:lang w:val="es-PE"/>
        </w:rPr>
        <w:t>. 5,</w:t>
      </w:r>
      <w:r w:rsidR="00E26502" w:rsidRPr="00E43DCC">
        <w:rPr>
          <w:rFonts w:ascii="Century Gothic" w:hAnsi="Century Gothic" w:cs="Arial"/>
          <w:sz w:val="14"/>
          <w:szCs w:val="14"/>
          <w:lang w:val="es-PE"/>
        </w:rPr>
        <w:t>(</w:t>
      </w:r>
      <w:r w:rsidRPr="00E43DCC">
        <w:rPr>
          <w:rFonts w:ascii="Century Gothic" w:hAnsi="Century Gothic" w:cs="Arial"/>
          <w:sz w:val="14"/>
          <w:szCs w:val="14"/>
          <w:lang w:val="es-PE"/>
        </w:rPr>
        <w:t xml:space="preserve">1), 14-28. </w:t>
      </w:r>
      <w:hyperlink r:id="rId24" w:history="1">
        <w:r w:rsidR="00E26502" w:rsidRPr="00E43DCC">
          <w:rPr>
            <w:rStyle w:val="Hipervnculo"/>
            <w:rFonts w:ascii="Century Gothic" w:hAnsi="Century Gothic" w:cs="Arial"/>
            <w:color w:val="auto"/>
            <w:sz w:val="14"/>
            <w:szCs w:val="14"/>
            <w:u w:val="none"/>
            <w:lang w:val="es-PE"/>
          </w:rPr>
          <w:t>https://doi.org/10.37641/riset.v5i1.214</w:t>
        </w:r>
      </w:hyperlink>
      <w:r w:rsidRPr="00E43DCC">
        <w:rPr>
          <w:rFonts w:ascii="Century Gothic" w:hAnsi="Century Gothic" w:cs="Arial"/>
          <w:sz w:val="14"/>
          <w:szCs w:val="14"/>
          <w:lang w:val="es-PE"/>
        </w:rPr>
        <w:t>.</w:t>
      </w:r>
    </w:p>
    <w:p w14:paraId="6C94973A" w14:textId="69499CB4" w:rsidR="00683DE6" w:rsidRPr="00E43DCC" w:rsidRDefault="00683DE6" w:rsidP="00BD198B">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Ley del Impuesto a la Renta. Capítulo VII de las tasas del impuesto. </w:t>
      </w:r>
      <w:hyperlink r:id="rId25" w:history="1">
        <w:r w:rsidRPr="00E43DCC">
          <w:rPr>
            <w:rStyle w:val="Hipervnculo"/>
            <w:rFonts w:ascii="Century Gothic" w:hAnsi="Century Gothic" w:cs="Arial"/>
            <w:color w:val="auto"/>
            <w:sz w:val="14"/>
            <w:szCs w:val="14"/>
            <w:u w:val="none"/>
            <w:lang w:val="es-PE"/>
          </w:rPr>
          <w:t>https://www.sunat.gob.pe/legislacion/renta/ley/capvii.pdf</w:t>
        </w:r>
      </w:hyperlink>
    </w:p>
    <w:p w14:paraId="1B7A8F33" w14:textId="2A915980"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Magin, M., Febres, P.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Carrasco, R. (2020). </w:t>
      </w:r>
      <w:r w:rsidRPr="00E43DCC">
        <w:rPr>
          <w:rFonts w:ascii="Century Gothic" w:hAnsi="Century Gothic" w:cs="Arial"/>
          <w:i/>
          <w:iCs/>
          <w:sz w:val="14"/>
          <w:szCs w:val="14"/>
          <w:lang w:val="es-PE"/>
        </w:rPr>
        <w:t>Análisis del régimen temporal y sustitutorio del impuesto a la renta no declaradas por contribuyentes en el distrito de Callerìa, departamento de Ucayali, periodo 2017.</w:t>
      </w:r>
      <w:r w:rsidRPr="00E43DCC">
        <w:rPr>
          <w:rFonts w:ascii="Century Gothic" w:hAnsi="Century Gothic" w:cs="Arial"/>
          <w:sz w:val="14"/>
          <w:szCs w:val="14"/>
          <w:lang w:val="es-PE"/>
        </w:rPr>
        <w:t xml:space="preserve"> [Tesis título profesional, Universidad Nacional </w:t>
      </w:r>
      <w:r w:rsidRPr="00E43DCC">
        <w:rPr>
          <w:rFonts w:ascii="Century Gothic" w:hAnsi="Century Gothic" w:cs="Arial"/>
          <w:sz w:val="14"/>
          <w:szCs w:val="14"/>
          <w:lang w:val="es-PE"/>
        </w:rPr>
        <w:t xml:space="preserve">de Ucayaly]. </w:t>
      </w:r>
      <w:hyperlink r:id="rId26" w:history="1">
        <w:r w:rsidRPr="00E43DCC">
          <w:rPr>
            <w:rStyle w:val="Hipervnculo"/>
            <w:rFonts w:ascii="Century Gothic" w:hAnsi="Century Gothic" w:cs="Arial"/>
            <w:color w:val="auto"/>
            <w:sz w:val="14"/>
            <w:szCs w:val="14"/>
            <w:u w:val="none"/>
            <w:lang w:val="es-PE"/>
          </w:rPr>
          <w:t>http://repositorio.unu.edu.pe/handle/UNU/4401</w:t>
        </w:r>
      </w:hyperlink>
    </w:p>
    <w:p w14:paraId="47D44635" w14:textId="545F96B7"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Margarriño, J., Montero, W.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Omero, L. (2019). </w:t>
      </w:r>
      <w:r w:rsidRPr="00E43DCC">
        <w:rPr>
          <w:rFonts w:ascii="Century Gothic" w:hAnsi="Century Gothic" w:cs="Arial"/>
          <w:i/>
          <w:iCs/>
          <w:sz w:val="14"/>
          <w:szCs w:val="14"/>
          <w:lang w:val="es-PE"/>
        </w:rPr>
        <w:t>Análisis de la repatriación e inversión de rentas no declaradas por principales contribuyentes en el departamento de Ucayali.</w:t>
      </w:r>
      <w:r w:rsidRPr="00E43DCC">
        <w:rPr>
          <w:rFonts w:ascii="Century Gothic" w:hAnsi="Century Gothic" w:cs="Arial"/>
          <w:sz w:val="14"/>
          <w:szCs w:val="14"/>
          <w:lang w:val="es-PE"/>
        </w:rPr>
        <w:t xml:space="preserve"> [Tesis título profesional, Universidad Nacional de Ucayali]. </w:t>
      </w:r>
      <w:hyperlink r:id="rId27" w:history="1">
        <w:r w:rsidRPr="00E43DCC">
          <w:rPr>
            <w:rStyle w:val="Hipervnculo"/>
            <w:rFonts w:ascii="Century Gothic" w:hAnsi="Century Gothic" w:cs="Arial"/>
            <w:color w:val="auto"/>
            <w:sz w:val="14"/>
            <w:szCs w:val="14"/>
            <w:u w:val="none"/>
            <w:lang w:val="es-PE"/>
          </w:rPr>
          <w:t>http://repositorio.unu.edu.pe/handle/UNU/4458</w:t>
        </w:r>
      </w:hyperlink>
    </w:p>
    <w:p w14:paraId="35963F50" w14:textId="77777777"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Obregón, T. (2017). </w:t>
      </w:r>
      <w:r w:rsidRPr="00E43DCC">
        <w:rPr>
          <w:rFonts w:ascii="Century Gothic" w:hAnsi="Century Gothic" w:cs="Arial"/>
          <w:i/>
          <w:iCs/>
          <w:sz w:val="14"/>
          <w:szCs w:val="14"/>
          <w:lang w:val="es-PE"/>
        </w:rPr>
        <w:t>La declaración, repatriación e inversión de rentas no declaradas: algunos comentarios</w:t>
      </w:r>
      <w:r w:rsidRPr="00E43DCC">
        <w:rPr>
          <w:rFonts w:ascii="Century Gothic" w:hAnsi="Century Gothic" w:cs="Arial"/>
          <w:sz w:val="14"/>
          <w:szCs w:val="14"/>
          <w:lang w:val="es-PE"/>
        </w:rPr>
        <w:t>. Instituto Pacífico.</w:t>
      </w:r>
    </w:p>
    <w:p w14:paraId="62D7FFB3" w14:textId="54E048B5" w:rsidR="00555EEF" w:rsidRPr="00E43DCC" w:rsidRDefault="00555EEF" w:rsidP="0037299F">
      <w:pPr>
        <w:tabs>
          <w:tab w:val="left" w:pos="0"/>
        </w:tabs>
        <w:ind w:left="284" w:hanging="284"/>
        <w:contextualSpacing/>
        <w:jc w:val="both"/>
        <w:rPr>
          <w:rFonts w:ascii="Century Gothic" w:eastAsia="Century Gothic" w:hAnsi="Century Gothic"/>
          <w:sz w:val="14"/>
          <w:szCs w:val="14"/>
          <w:lang w:val="es-PE"/>
        </w:rPr>
      </w:pPr>
      <w:r w:rsidRPr="00E43DCC">
        <w:rPr>
          <w:rFonts w:ascii="Century Gothic" w:eastAsia="Century Gothic" w:hAnsi="Century Gothic"/>
          <w:sz w:val="14"/>
          <w:szCs w:val="14"/>
          <w:lang w:val="es-PE"/>
        </w:rPr>
        <w:t>Organización para la Cooperación y el Desarrollo Económicos</w:t>
      </w:r>
      <w:r w:rsidR="00103E4E" w:rsidRPr="00E43DCC">
        <w:rPr>
          <w:rFonts w:ascii="Century Gothic" w:eastAsia="Century Gothic" w:hAnsi="Century Gothic"/>
          <w:sz w:val="14"/>
          <w:szCs w:val="14"/>
          <w:lang w:val="es-PE"/>
        </w:rPr>
        <w:t xml:space="preserve"> [OCDE]</w:t>
      </w:r>
      <w:r w:rsidRPr="00E43DCC">
        <w:rPr>
          <w:rFonts w:ascii="Century Gothic" w:eastAsia="Century Gothic" w:hAnsi="Century Gothic"/>
          <w:sz w:val="14"/>
          <w:szCs w:val="14"/>
          <w:lang w:val="es-PE"/>
        </w:rPr>
        <w:t xml:space="preserve"> (2022). Programa de repatriación de capitales.</w:t>
      </w:r>
    </w:p>
    <w:p w14:paraId="607A1EF5" w14:textId="2D3CD739" w:rsidR="00555EEF" w:rsidRPr="00E43DCC" w:rsidRDefault="00555EEF" w:rsidP="0037299F">
      <w:pPr>
        <w:tabs>
          <w:tab w:val="left" w:pos="0"/>
        </w:tabs>
        <w:ind w:left="284" w:hanging="284"/>
        <w:contextualSpacing/>
        <w:jc w:val="both"/>
        <w:rPr>
          <w:rFonts w:ascii="Century Gothic" w:eastAsia="Century Gothic" w:hAnsi="Century Gothic"/>
          <w:sz w:val="14"/>
          <w:szCs w:val="14"/>
          <w:lang w:val="es-PE"/>
        </w:rPr>
      </w:pPr>
      <w:r w:rsidRPr="00E43DCC">
        <w:rPr>
          <w:rFonts w:ascii="Century Gothic" w:eastAsia="Century Gothic" w:hAnsi="Century Gothic"/>
          <w:sz w:val="14"/>
          <w:szCs w:val="14"/>
          <w:lang w:val="es-PE"/>
        </w:rPr>
        <w:t xml:space="preserve">Quilia, J., Rimache, M., Alfaro, J., Riveros, M. </w:t>
      </w:r>
      <w:r w:rsidR="000E6966" w:rsidRPr="00E43DCC">
        <w:rPr>
          <w:rFonts w:ascii="Century Gothic" w:eastAsia="Century Gothic" w:hAnsi="Century Gothic"/>
          <w:sz w:val="14"/>
          <w:szCs w:val="14"/>
          <w:lang w:val="es-PE"/>
        </w:rPr>
        <w:t>y</w:t>
      </w:r>
      <w:r w:rsidRPr="00E43DCC">
        <w:rPr>
          <w:rFonts w:ascii="Century Gothic" w:eastAsia="Century Gothic" w:hAnsi="Century Gothic"/>
          <w:sz w:val="14"/>
          <w:szCs w:val="14"/>
          <w:lang w:val="es-PE"/>
        </w:rPr>
        <w:t xml:space="preserve"> Quilia, T. (2024). </w:t>
      </w:r>
      <w:r w:rsidRPr="00E43DCC">
        <w:rPr>
          <w:rFonts w:ascii="Century Gothic" w:eastAsia="Century Gothic" w:hAnsi="Century Gothic"/>
          <w:i/>
          <w:iCs/>
          <w:sz w:val="14"/>
          <w:szCs w:val="14"/>
          <w:lang w:val="es-PE"/>
        </w:rPr>
        <w:t>Explorando Hacia la Excelencia Investigativa: la metodologia científica en ciencias contables y empresariales.</w:t>
      </w:r>
      <w:r w:rsidRPr="00E43DCC">
        <w:rPr>
          <w:rFonts w:ascii="Century Gothic" w:eastAsia="Century Gothic" w:hAnsi="Century Gothic"/>
          <w:sz w:val="14"/>
          <w:szCs w:val="14"/>
          <w:lang w:val="es-PE"/>
        </w:rPr>
        <w:t xml:space="preserve"> Editorial Despertar Científico</w:t>
      </w:r>
    </w:p>
    <w:p w14:paraId="6007B4A8" w14:textId="0408CBAB" w:rsidR="00683DE6" w:rsidRPr="00E43DCC" w:rsidRDefault="00683DE6" w:rsidP="0037299F">
      <w:pPr>
        <w:tabs>
          <w:tab w:val="left" w:pos="0"/>
        </w:tabs>
        <w:ind w:left="284" w:hanging="284"/>
        <w:contextualSpacing/>
        <w:jc w:val="both"/>
        <w:rPr>
          <w:rFonts w:ascii="Century Gothic" w:eastAsia="Century Gothic" w:hAnsi="Century Gothic"/>
          <w:sz w:val="14"/>
          <w:szCs w:val="14"/>
          <w:lang w:val="pt-BR"/>
        </w:rPr>
      </w:pPr>
      <w:r w:rsidRPr="00E43DCC">
        <w:rPr>
          <w:rFonts w:ascii="Century Gothic" w:eastAsia="Century Gothic" w:hAnsi="Century Gothic"/>
          <w:sz w:val="14"/>
          <w:szCs w:val="14"/>
          <w:lang w:val="es-PE"/>
        </w:rPr>
        <w:t xml:space="preserve">PricewaterhouseCoopers (2016). Régimen Temporal y Sustitutorio del Impuesto a la Renta Para la Declaración, Repatriación e Inversión de Rentas No Declaradas. </w:t>
      </w:r>
      <w:r w:rsidRPr="00E43DCC">
        <w:rPr>
          <w:rFonts w:ascii="Century Gothic" w:eastAsia="Century Gothic" w:hAnsi="Century Gothic"/>
          <w:sz w:val="14"/>
          <w:szCs w:val="14"/>
          <w:lang w:val="pt-BR"/>
        </w:rPr>
        <w:t xml:space="preserve">Decreto Legislativo N° 1264. </w:t>
      </w:r>
      <w:hyperlink r:id="rId28" w:history="1">
        <w:r w:rsidRPr="00E43DCC">
          <w:rPr>
            <w:rStyle w:val="Hipervnculo"/>
            <w:rFonts w:ascii="Century Gothic" w:eastAsia="Century Gothic" w:hAnsi="Century Gothic"/>
            <w:color w:val="auto"/>
            <w:sz w:val="14"/>
            <w:szCs w:val="14"/>
            <w:u w:val="none"/>
            <w:lang w:val="pt-BR"/>
          </w:rPr>
          <w:t>https://www.pwc.pe/es/assets/document/brochure_IR_final.pdf</w:t>
        </w:r>
      </w:hyperlink>
    </w:p>
    <w:p w14:paraId="22AA6DA5" w14:textId="77777777" w:rsidR="00683DE6" w:rsidRPr="00E43DCC" w:rsidRDefault="00683DE6" w:rsidP="00FD2387">
      <w:pPr>
        <w:tabs>
          <w:tab w:val="left" w:pos="0"/>
        </w:tabs>
        <w:ind w:left="284" w:hanging="284"/>
        <w:contextualSpacing/>
        <w:jc w:val="both"/>
        <w:rPr>
          <w:rFonts w:ascii="Century Gothic" w:hAnsi="Century Gothic" w:cs="Arial"/>
          <w:sz w:val="14"/>
          <w:szCs w:val="14"/>
          <w:lang w:val="pt-BR"/>
        </w:rPr>
      </w:pPr>
      <w:r w:rsidRPr="00E43DCC">
        <w:rPr>
          <w:rFonts w:ascii="Century Gothic" w:hAnsi="Century Gothic" w:cs="Arial"/>
          <w:sz w:val="14"/>
          <w:szCs w:val="14"/>
          <w:lang w:val="es-PE"/>
        </w:rPr>
        <w:t xml:space="preserve">PricewaterhouseCoopers (2017). Amnistía para la Declaración, Repatriación e Inversión de rentas no declaradas. </w:t>
      </w:r>
      <w:r w:rsidRPr="00E43DCC">
        <w:rPr>
          <w:rFonts w:ascii="Century Gothic" w:hAnsi="Century Gothic" w:cs="Arial"/>
          <w:sz w:val="14"/>
          <w:szCs w:val="14"/>
          <w:lang w:val="pt-BR"/>
        </w:rPr>
        <w:t xml:space="preserve">Decreto Legislativo N° 1264. </w:t>
      </w:r>
      <w:hyperlink r:id="rId29" w:history="1">
        <w:r w:rsidRPr="00E43DCC">
          <w:rPr>
            <w:rStyle w:val="Hipervnculo"/>
            <w:rFonts w:ascii="Century Gothic" w:hAnsi="Century Gothic" w:cs="Arial"/>
            <w:color w:val="auto"/>
            <w:sz w:val="14"/>
            <w:szCs w:val="14"/>
            <w:u w:val="none"/>
            <w:lang w:val="pt-BR"/>
          </w:rPr>
          <w:t>https://www.pwc.pe/es/assets/document/brochure_IR_final.pdf</w:t>
        </w:r>
      </w:hyperlink>
    </w:p>
    <w:p w14:paraId="7F3D19E5" w14:textId="740314C6"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Quispe, M., Quispe, W., Huaichao, M</w:t>
      </w:r>
      <w:r w:rsidR="00AE4C66" w:rsidRPr="00E43DCC">
        <w:rPr>
          <w:rFonts w:ascii="Century Gothic" w:hAnsi="Century Gothic" w:cs="Arial"/>
          <w:sz w:val="14"/>
          <w:szCs w:val="14"/>
          <w:lang w:val="es-PE"/>
        </w:rPr>
        <w:t>.</w:t>
      </w:r>
      <w:r w:rsidRPr="00E43DCC">
        <w:rPr>
          <w:rFonts w:ascii="Century Gothic" w:hAnsi="Century Gothic" w:cs="Arial"/>
          <w:sz w:val="14"/>
          <w:szCs w:val="14"/>
          <w:lang w:val="es-PE"/>
        </w:rPr>
        <w:t xml:space="preserve">, Cavero, N., </w:t>
      </w:r>
      <w:r w:rsidR="000E6966" w:rsidRPr="00E43DCC">
        <w:rPr>
          <w:rFonts w:ascii="Century Gothic" w:hAnsi="Century Gothic" w:cs="Arial"/>
          <w:sz w:val="14"/>
          <w:szCs w:val="14"/>
          <w:lang w:val="es-PE"/>
        </w:rPr>
        <w:t>y</w:t>
      </w:r>
      <w:r w:rsidRPr="00E43DCC">
        <w:rPr>
          <w:rFonts w:ascii="Century Gothic" w:hAnsi="Century Gothic" w:cs="Arial"/>
          <w:sz w:val="14"/>
          <w:szCs w:val="14"/>
          <w:lang w:val="es-PE"/>
        </w:rPr>
        <w:t xml:space="preserve"> Holgado, L. (2023). Rentas no declaradas y el incremento patrimonial no justificado en las personas naturales del distrito de Tambopata, Perú. </w:t>
      </w:r>
      <w:r w:rsidRPr="00E43DCC">
        <w:rPr>
          <w:rFonts w:ascii="Century Gothic" w:hAnsi="Century Gothic" w:cs="Arial"/>
          <w:i/>
          <w:iCs/>
          <w:sz w:val="14"/>
          <w:szCs w:val="14"/>
          <w:lang w:val="es-PE"/>
        </w:rPr>
        <w:t>Ciencia Latina Revista Científica Multidisciplinar</w:t>
      </w:r>
      <w:r w:rsidRPr="00E43DCC">
        <w:rPr>
          <w:rFonts w:ascii="Century Gothic" w:hAnsi="Century Gothic" w:cs="Arial"/>
          <w:sz w:val="14"/>
          <w:szCs w:val="14"/>
          <w:lang w:val="es-PE"/>
        </w:rPr>
        <w:t xml:space="preserve">, 7(1), 7082-7091. </w:t>
      </w:r>
      <w:hyperlink r:id="rId30" w:history="1">
        <w:r w:rsidRPr="00E43DCC">
          <w:rPr>
            <w:rStyle w:val="Hipervnculo"/>
            <w:rFonts w:ascii="Century Gothic" w:hAnsi="Century Gothic" w:cs="Arial"/>
            <w:color w:val="auto"/>
            <w:sz w:val="14"/>
            <w:szCs w:val="14"/>
            <w:u w:val="none"/>
            <w:lang w:val="es-PE"/>
          </w:rPr>
          <w:t>https://doi.org/10.37811/cl_rcm.v7i1.4945</w:t>
        </w:r>
      </w:hyperlink>
    </w:p>
    <w:p w14:paraId="661766EB" w14:textId="77777777" w:rsidR="00683DE6" w:rsidRPr="00E43DCC" w:rsidRDefault="00683DE6" w:rsidP="00FD2387">
      <w:pPr>
        <w:tabs>
          <w:tab w:val="left" w:pos="0"/>
        </w:tabs>
        <w:ind w:left="284" w:hanging="284"/>
        <w:contextualSpacing/>
        <w:jc w:val="both"/>
        <w:rPr>
          <w:rFonts w:ascii="Century Gothic" w:hAnsi="Century Gothic" w:cs="Arial"/>
          <w:sz w:val="14"/>
          <w:szCs w:val="14"/>
          <w:lang w:val="es-PE"/>
        </w:rPr>
      </w:pPr>
      <w:r w:rsidRPr="00E43DCC">
        <w:rPr>
          <w:rFonts w:ascii="Century Gothic" w:hAnsi="Century Gothic" w:cs="Arial"/>
          <w:sz w:val="14"/>
          <w:szCs w:val="14"/>
          <w:lang w:val="es-PE"/>
        </w:rPr>
        <w:t xml:space="preserve">Samhan, F. (2018). Régimen temporal y sustitutorio del impuesto a la renta para la declaración, repatriación de capitales e inversión de rentas no declaradas. </w:t>
      </w:r>
      <w:r w:rsidRPr="00E43DCC">
        <w:rPr>
          <w:rFonts w:ascii="Century Gothic" w:hAnsi="Century Gothic" w:cs="Arial"/>
          <w:i/>
          <w:iCs/>
          <w:sz w:val="14"/>
          <w:szCs w:val="14"/>
          <w:lang w:val="es-PE"/>
        </w:rPr>
        <w:t>Ius Inkarri</w:t>
      </w:r>
      <w:r w:rsidRPr="00E43DCC">
        <w:rPr>
          <w:rFonts w:ascii="Century Gothic" w:hAnsi="Century Gothic" w:cs="Arial"/>
          <w:sz w:val="14"/>
          <w:szCs w:val="14"/>
          <w:lang w:val="es-PE"/>
        </w:rPr>
        <w:t xml:space="preserve">, 6(6), 371–382. </w:t>
      </w:r>
      <w:hyperlink r:id="rId31" w:history="1">
        <w:r w:rsidRPr="00E43DCC">
          <w:rPr>
            <w:rStyle w:val="Hipervnculo"/>
            <w:rFonts w:ascii="Century Gothic" w:hAnsi="Century Gothic" w:cs="Arial"/>
            <w:color w:val="auto"/>
            <w:sz w:val="14"/>
            <w:szCs w:val="14"/>
            <w:u w:val="none"/>
            <w:lang w:val="es-PE"/>
          </w:rPr>
          <w:t>https://doi.org/10.31381/iusinkarri.vn6.1252</w:t>
        </w:r>
      </w:hyperlink>
    </w:p>
    <w:bookmarkEnd w:id="0"/>
    <w:p w14:paraId="0D3B0A14" w14:textId="77777777" w:rsidR="00446B51" w:rsidRDefault="00446B51" w:rsidP="00446B51">
      <w:pPr>
        <w:jc w:val="both"/>
        <w:rPr>
          <w:rFonts w:ascii="Century Gothic" w:hAnsi="Century Gothic" w:cs="Arial"/>
          <w:b/>
          <w:bCs/>
          <w:sz w:val="18"/>
          <w:szCs w:val="18"/>
        </w:rPr>
        <w:sectPr w:rsidR="00446B51" w:rsidSect="009442F6">
          <w:type w:val="continuous"/>
          <w:pgSz w:w="11906" w:h="16838"/>
          <w:pgMar w:top="1418" w:right="1700" w:bottom="1135" w:left="1843" w:header="709" w:footer="709" w:gutter="0"/>
          <w:cols w:num="2" w:space="720" w:equalWidth="0">
            <w:col w:w="3827" w:space="708"/>
            <w:col w:w="3827" w:space="0"/>
          </w:cols>
        </w:sectPr>
      </w:pPr>
    </w:p>
    <w:p w14:paraId="7DC2F5E5" w14:textId="77777777" w:rsidR="00E43DCC" w:rsidRDefault="00E43DCC" w:rsidP="00446B51">
      <w:pPr>
        <w:jc w:val="both"/>
        <w:rPr>
          <w:rFonts w:ascii="Century Gothic" w:hAnsi="Century Gothic" w:cs="Arial"/>
          <w:b/>
          <w:bCs/>
          <w:color w:val="FF0000"/>
          <w:sz w:val="18"/>
          <w:szCs w:val="18"/>
        </w:rPr>
        <w:sectPr w:rsidR="00E43DCC" w:rsidSect="00C5452E">
          <w:type w:val="continuous"/>
          <w:pgSz w:w="11906" w:h="16838"/>
          <w:pgMar w:top="1418" w:right="1700" w:bottom="1135" w:left="1843" w:header="709" w:footer="709" w:gutter="0"/>
          <w:cols w:space="720"/>
        </w:sectPr>
      </w:pPr>
    </w:p>
    <w:p w14:paraId="66D311E9" w14:textId="77777777" w:rsidR="00A7625D" w:rsidRDefault="00A7625D" w:rsidP="00446B51">
      <w:pPr>
        <w:jc w:val="both"/>
        <w:rPr>
          <w:rFonts w:ascii="Century Gothic" w:hAnsi="Century Gothic" w:cs="Arial"/>
          <w:b/>
          <w:bCs/>
          <w:color w:val="FF0000"/>
          <w:sz w:val="18"/>
          <w:szCs w:val="18"/>
        </w:rPr>
      </w:pPr>
    </w:p>
    <w:p w14:paraId="55B67B97" w14:textId="1D77483D" w:rsidR="00A7625D" w:rsidRPr="00A7625D" w:rsidRDefault="00A7625D" w:rsidP="00E43DCC">
      <w:pPr>
        <w:jc w:val="center"/>
        <w:rPr>
          <w:rFonts w:ascii="Century Gothic" w:eastAsia="Century Gothic" w:hAnsi="Century Gothic" w:cs="Century Gothic"/>
          <w:b/>
          <w:color w:val="393A6B"/>
          <w:sz w:val="18"/>
          <w:szCs w:val="18"/>
        </w:rPr>
      </w:pPr>
      <w:r w:rsidRPr="00A7625D">
        <w:rPr>
          <w:rFonts w:ascii="Century Gothic" w:eastAsia="Century Gothic" w:hAnsi="Century Gothic" w:cs="Century Gothic"/>
          <w:b/>
          <w:color w:val="393A6B"/>
          <w:sz w:val="18"/>
          <w:szCs w:val="18"/>
        </w:rPr>
        <w:t>ANEXO</w:t>
      </w:r>
    </w:p>
    <w:p w14:paraId="077C2DD2" w14:textId="77777777" w:rsidR="00A7625D" w:rsidRDefault="00A7625D" w:rsidP="00446B51">
      <w:pPr>
        <w:jc w:val="both"/>
        <w:rPr>
          <w:rFonts w:ascii="Century Gothic" w:hAnsi="Century Gothic" w:cs="Arial"/>
          <w:b/>
          <w:bCs/>
          <w:sz w:val="18"/>
          <w:szCs w:val="18"/>
        </w:rPr>
      </w:pPr>
    </w:p>
    <w:p w14:paraId="2B0CB05A" w14:textId="61BF6B17" w:rsidR="00446B51" w:rsidRPr="00A7625D" w:rsidRDefault="00446B51" w:rsidP="00446B51">
      <w:pPr>
        <w:jc w:val="both"/>
        <w:rPr>
          <w:rFonts w:ascii="Century Gothic" w:hAnsi="Century Gothic" w:cs="Arial"/>
          <w:b/>
          <w:bCs/>
          <w:sz w:val="14"/>
          <w:szCs w:val="14"/>
          <w:lang w:val="es-PE"/>
        </w:rPr>
      </w:pPr>
      <w:r w:rsidRPr="00A7625D">
        <w:rPr>
          <w:rFonts w:ascii="Century Gothic" w:hAnsi="Century Gothic" w:cs="Arial"/>
          <w:b/>
          <w:bCs/>
          <w:sz w:val="14"/>
          <w:szCs w:val="14"/>
        </w:rPr>
        <w:t>Anexo 1</w:t>
      </w:r>
      <w:r w:rsidR="00A7625D" w:rsidRPr="00A7625D">
        <w:rPr>
          <w:rFonts w:ascii="Century Gothic" w:hAnsi="Century Gothic" w:cs="Arial"/>
          <w:b/>
          <w:bCs/>
          <w:sz w:val="14"/>
          <w:szCs w:val="14"/>
        </w:rPr>
        <w:t>.</w:t>
      </w:r>
      <w:r w:rsidRPr="00A7625D">
        <w:rPr>
          <w:rFonts w:ascii="Century Gothic" w:hAnsi="Century Gothic" w:cs="Arial"/>
          <w:b/>
          <w:bCs/>
          <w:sz w:val="14"/>
          <w:szCs w:val="14"/>
        </w:rPr>
        <w:t xml:space="preserve"> </w:t>
      </w:r>
      <w:r w:rsidRPr="00A7625D">
        <w:rPr>
          <w:rFonts w:ascii="Century Gothic" w:hAnsi="Century Gothic" w:cs="Arial"/>
          <w:b/>
          <w:bCs/>
          <w:sz w:val="14"/>
          <w:szCs w:val="14"/>
          <w:lang w:val="es-PE"/>
        </w:rPr>
        <w:t>Cuestionario para medir la repatriación de rentas no declaradas y el trato igualitario</w:t>
      </w:r>
    </w:p>
    <w:p w14:paraId="20D62AF7" w14:textId="77777777" w:rsidR="00446B51" w:rsidRPr="00A7625D" w:rsidRDefault="00446B51" w:rsidP="00A7625D">
      <w:pPr>
        <w:jc w:val="both"/>
        <w:rPr>
          <w:rFonts w:ascii="Century Gothic" w:hAnsi="Century Gothic" w:cs="Arial"/>
          <w:sz w:val="14"/>
          <w:szCs w:val="14"/>
          <w:lang w:val="es-PE"/>
        </w:rPr>
      </w:pPr>
    </w:p>
    <w:p w14:paraId="533AF708" w14:textId="77777777" w:rsidR="00446B51" w:rsidRPr="00A7625D" w:rsidRDefault="00446B51" w:rsidP="00446B51">
      <w:pPr>
        <w:jc w:val="both"/>
        <w:rPr>
          <w:rFonts w:ascii="Century Gothic" w:hAnsi="Century Gothic" w:cs="Arial"/>
          <w:sz w:val="14"/>
          <w:szCs w:val="14"/>
          <w:lang w:val="es-PE"/>
        </w:rPr>
      </w:pPr>
      <w:r w:rsidRPr="00A7625D">
        <w:rPr>
          <w:rFonts w:ascii="Century Gothic" w:hAnsi="Century Gothic" w:cs="Arial"/>
          <w:sz w:val="14"/>
          <w:szCs w:val="14"/>
          <w:lang w:val="es-PE"/>
        </w:rPr>
        <w:t>Estimado(a), marque con una “X” la alternativa que usted considere conveniente, de acuerdo con el ítem en los casilleros señalados, se agradece su cooperación. Responda utilizando la siguiente escala: Nunca 1, Casi nunca 2, A veces 3, Casi siempre 4, Siempre 5.</w:t>
      </w:r>
    </w:p>
    <w:p w14:paraId="1823DBAE" w14:textId="77777777" w:rsidR="00446B51" w:rsidRPr="00A7625D" w:rsidRDefault="00446B51" w:rsidP="00A7625D">
      <w:pPr>
        <w:rPr>
          <w:sz w:val="14"/>
          <w:szCs w:val="14"/>
        </w:rPr>
      </w:pPr>
    </w:p>
    <w:tbl>
      <w:tblPr>
        <w:tblW w:w="8318" w:type="dxa"/>
        <w:tblInd w:w="-6" w:type="dxa"/>
        <w:shd w:val="clear" w:color="auto" w:fill="CBD3DF"/>
        <w:tblLayout w:type="fixed"/>
        <w:tblCellMar>
          <w:left w:w="0" w:type="dxa"/>
          <w:right w:w="0" w:type="dxa"/>
        </w:tblCellMar>
        <w:tblLook w:val="01E0" w:firstRow="1" w:lastRow="1" w:firstColumn="1" w:lastColumn="1" w:noHBand="0" w:noVBand="0"/>
      </w:tblPr>
      <w:tblGrid>
        <w:gridCol w:w="6"/>
        <w:gridCol w:w="378"/>
        <w:gridCol w:w="6"/>
        <w:gridCol w:w="5989"/>
        <w:gridCol w:w="400"/>
        <w:gridCol w:w="6"/>
        <w:gridCol w:w="377"/>
        <w:gridCol w:w="6"/>
        <w:gridCol w:w="378"/>
        <w:gridCol w:w="6"/>
        <w:gridCol w:w="377"/>
        <w:gridCol w:w="6"/>
        <w:gridCol w:w="377"/>
        <w:gridCol w:w="6"/>
      </w:tblGrid>
      <w:tr w:rsidR="00A7625D" w:rsidRPr="00A7625D" w14:paraId="300531B7"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bookmarkStart w:id="1" w:name="_Hlk160893783"/>
          <w:p w14:paraId="32AF59A9" w14:textId="77777777" w:rsidR="00446B51" w:rsidRPr="00A7625D" w:rsidRDefault="00446B51" w:rsidP="00183A20">
            <w:pPr>
              <w:ind w:left="102"/>
              <w:rPr>
                <w:rFonts w:ascii="Century Gothic" w:hAnsi="Century Gothic" w:cs="Arial"/>
                <w:sz w:val="14"/>
                <w:szCs w:val="14"/>
              </w:rPr>
            </w:pPr>
            <w:r w:rsidRPr="00A7625D">
              <w:rPr>
                <w:rFonts w:ascii="Century Gothic" w:hAnsi="Century Gothic" w:cs="Arial"/>
                <w:noProof/>
                <w:sz w:val="14"/>
                <w:szCs w:val="14"/>
              </w:rPr>
              <mc:AlternateContent>
                <mc:Choice Requires="wps">
                  <w:drawing>
                    <wp:anchor distT="0" distB="0" distL="114300" distR="114300" simplePos="0" relativeHeight="251659264" behindDoc="0" locked="0" layoutInCell="1" allowOverlap="1" wp14:anchorId="01002A3A" wp14:editId="7E609862">
                      <wp:simplePos x="0" y="0"/>
                      <wp:positionH relativeFrom="column">
                        <wp:posOffset>5429995</wp:posOffset>
                      </wp:positionH>
                      <wp:positionV relativeFrom="paragraph">
                        <wp:posOffset>5599375</wp:posOffset>
                      </wp:positionV>
                      <wp:extent cx="248479" cy="218661"/>
                      <wp:effectExtent l="0" t="0" r="18415" b="10160"/>
                      <wp:wrapNone/>
                      <wp:docPr id="65" name="Elipse 1"/>
                      <wp:cNvGraphicFramePr/>
                      <a:graphic xmlns:a="http://schemas.openxmlformats.org/drawingml/2006/main">
                        <a:graphicData uri="http://schemas.microsoft.com/office/word/2010/wordprocessingShape">
                          <wps:wsp>
                            <wps:cNvSpPr/>
                            <wps:spPr>
                              <a:xfrm>
                                <a:off x="0" y="0"/>
                                <a:ext cx="248479" cy="21866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7F688" id="Elipse 1" o:spid="_x0000_s1026" style="position:absolute;margin-left:427.55pt;margin-top:440.9pt;width:19.55pt;height:1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" fillcolor="white [3212]" strokecolor="white [3212]" strokeweight="1pt">
                      <v:stroke joinstyle="miter"/>
                    </v:oval>
                  </w:pict>
                </mc:Fallback>
              </mc:AlternateContent>
            </w:r>
            <w:r w:rsidRPr="00A7625D">
              <w:rPr>
                <w:rFonts w:ascii="Century Gothic" w:hAnsi="Century Gothic" w:cs="Arial"/>
                <w:sz w:val="14"/>
                <w:szCs w:val="14"/>
              </w:rPr>
              <w:t>N°</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0C0F6BC2" w14:textId="77777777" w:rsidR="00446B51" w:rsidRPr="00A7625D" w:rsidRDefault="00446B51" w:rsidP="00183A20">
            <w:pPr>
              <w:ind w:left="96"/>
              <w:rPr>
                <w:rFonts w:ascii="Century Gothic" w:hAnsi="Century Gothic" w:cs="Arial"/>
                <w:b/>
                <w:bCs/>
                <w:sz w:val="14"/>
                <w:szCs w:val="14"/>
                <w:lang w:val="es-PE"/>
              </w:rPr>
            </w:pPr>
            <w:r w:rsidRPr="00A7625D">
              <w:rPr>
                <w:rFonts w:ascii="Century Gothic" w:hAnsi="Century Gothic" w:cs="Arial"/>
                <w:b/>
                <w:bCs/>
                <w:sz w:val="14"/>
                <w:szCs w:val="14"/>
                <w:lang w:val="es-PE"/>
              </w:rPr>
              <w:t xml:space="preserve">Regularización de Ingresos No Declarados </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46A5B044" w14:textId="77777777" w:rsidR="00446B51" w:rsidRPr="00A7625D" w:rsidRDefault="00446B51" w:rsidP="00183A20">
            <w:pPr>
              <w:ind w:left="103"/>
              <w:rPr>
                <w:rFonts w:ascii="Century Gothic" w:hAnsi="Century Gothic" w:cs="Arial"/>
                <w:sz w:val="14"/>
                <w:szCs w:val="14"/>
              </w:rPr>
            </w:pPr>
            <w:r w:rsidRPr="00A7625D">
              <w:rPr>
                <w:rFonts w:ascii="Century Gothic" w:hAnsi="Century Gothic" w:cs="Arial"/>
                <w:sz w:val="14"/>
                <w:szCs w:val="14"/>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D6802C8" w14:textId="77777777" w:rsidR="00446B51" w:rsidRPr="00A7625D" w:rsidRDefault="00446B51" w:rsidP="00183A20">
            <w:pPr>
              <w:ind w:left="102"/>
              <w:rPr>
                <w:rFonts w:ascii="Century Gothic" w:hAnsi="Century Gothic" w:cs="Arial"/>
                <w:sz w:val="14"/>
                <w:szCs w:val="14"/>
              </w:rPr>
            </w:pPr>
            <w:r w:rsidRPr="00A7625D">
              <w:rPr>
                <w:rFonts w:ascii="Century Gothic" w:hAnsi="Century Gothic" w:cs="Arial"/>
                <w:sz w:val="14"/>
                <w:szCs w:val="14"/>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A3FA9F0" w14:textId="77777777" w:rsidR="00446B51" w:rsidRPr="00A7625D" w:rsidRDefault="00446B51" w:rsidP="00183A20">
            <w:pPr>
              <w:ind w:left="102"/>
              <w:rPr>
                <w:rFonts w:ascii="Century Gothic" w:hAnsi="Century Gothic" w:cs="Arial"/>
                <w:sz w:val="14"/>
                <w:szCs w:val="14"/>
              </w:rPr>
            </w:pPr>
            <w:r w:rsidRPr="00A7625D">
              <w:rPr>
                <w:rFonts w:ascii="Century Gothic" w:hAnsi="Century Gothic" w:cs="Arial"/>
                <w:sz w:val="14"/>
                <w:szCs w:val="14"/>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76762FB" w14:textId="77777777" w:rsidR="00446B51" w:rsidRPr="00A7625D" w:rsidRDefault="00446B51" w:rsidP="00183A20">
            <w:pPr>
              <w:ind w:left="102"/>
              <w:rPr>
                <w:rFonts w:ascii="Century Gothic" w:hAnsi="Century Gothic" w:cs="Arial"/>
                <w:sz w:val="14"/>
                <w:szCs w:val="14"/>
              </w:rPr>
            </w:pPr>
            <w:r w:rsidRPr="00A7625D">
              <w:rPr>
                <w:rFonts w:ascii="Century Gothic" w:hAnsi="Century Gothic" w:cs="Arial"/>
                <w:sz w:val="14"/>
                <w:szCs w:val="14"/>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44D2EB1" w14:textId="77777777" w:rsidR="00446B51" w:rsidRPr="00A7625D" w:rsidRDefault="00446B51" w:rsidP="00183A20">
            <w:pPr>
              <w:ind w:left="102"/>
              <w:rPr>
                <w:rFonts w:ascii="Century Gothic" w:hAnsi="Century Gothic" w:cs="Arial"/>
                <w:sz w:val="14"/>
                <w:szCs w:val="14"/>
              </w:rPr>
            </w:pPr>
            <w:r w:rsidRPr="00A7625D">
              <w:rPr>
                <w:rFonts w:ascii="Century Gothic" w:hAnsi="Century Gothic" w:cs="Arial"/>
                <w:sz w:val="14"/>
                <w:szCs w:val="14"/>
              </w:rPr>
              <w:t>5</w:t>
            </w:r>
          </w:p>
        </w:tc>
      </w:tr>
      <w:tr w:rsidR="00A7625D" w:rsidRPr="00A7625D" w14:paraId="4AE24A93"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2510528"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1</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6CF214EB" w14:textId="4B1363F2" w:rsidR="00446B51" w:rsidRPr="00A7625D" w:rsidRDefault="00446B51" w:rsidP="00A7625D">
            <w:pPr>
              <w:jc w:val="both"/>
              <w:rPr>
                <w:rFonts w:ascii="Century Gothic" w:hAnsi="Century Gothic" w:cs="Arial"/>
                <w:sz w:val="14"/>
                <w:szCs w:val="14"/>
                <w:lang w:val="es-PE"/>
              </w:rPr>
            </w:pPr>
            <w:r w:rsidRPr="00A7625D">
              <w:rPr>
                <w:rFonts w:ascii="Century Gothic" w:hAnsi="Century Gothic" w:cs="Arial"/>
                <w:sz w:val="14"/>
                <w:szCs w:val="14"/>
                <w:lang w:val="es-PE"/>
              </w:rPr>
              <w:t>Los contribuyentes cumplieron con efectuar en la Declaración Jurada la corrección de ingresos no informados.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1E1975E2"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1CC11FA"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CDA8A79"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6FF17F5"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346B6DF" w14:textId="77777777" w:rsidR="00446B51" w:rsidRPr="00A7625D" w:rsidRDefault="00446B51" w:rsidP="00183A20">
            <w:pPr>
              <w:rPr>
                <w:rFonts w:ascii="Century Gothic" w:hAnsi="Century Gothic" w:cs="Arial"/>
                <w:sz w:val="14"/>
                <w:szCs w:val="14"/>
                <w:lang w:val="es-PE"/>
              </w:rPr>
            </w:pPr>
          </w:p>
        </w:tc>
      </w:tr>
      <w:tr w:rsidR="00A7625D" w:rsidRPr="00A7625D" w14:paraId="1FCE8991"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653C0C5"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2</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6C0D218D" w14:textId="2BDCA785" w:rsidR="00446B51" w:rsidRPr="00A7625D" w:rsidRDefault="00446B51" w:rsidP="00A7625D">
            <w:pPr>
              <w:jc w:val="both"/>
              <w:rPr>
                <w:rFonts w:ascii="Century Gothic" w:hAnsi="Century Gothic" w:cs="Arial"/>
                <w:sz w:val="14"/>
                <w:szCs w:val="14"/>
                <w:lang w:val="es-PE"/>
              </w:rPr>
            </w:pPr>
            <w:r w:rsidRPr="00A7625D">
              <w:rPr>
                <w:rFonts w:ascii="Century Gothic" w:hAnsi="Century Gothic" w:cs="Arial"/>
                <w:sz w:val="14"/>
                <w:szCs w:val="14"/>
                <w:lang w:val="es-PE"/>
              </w:rPr>
              <w:t xml:space="preserve">El régimen temporal de repatriación de rentas no declaradas facilita la observancia de la transparencia de los ingresos omitidos. </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4ECD1163"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C20E3D9"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D1D05B"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032E258"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B21EEAF" w14:textId="77777777" w:rsidR="00446B51" w:rsidRPr="00A7625D" w:rsidRDefault="00446B51" w:rsidP="00183A20">
            <w:pPr>
              <w:rPr>
                <w:rFonts w:ascii="Century Gothic" w:hAnsi="Century Gothic" w:cs="Arial"/>
                <w:sz w:val="14"/>
                <w:szCs w:val="14"/>
                <w:lang w:val="es-PE"/>
              </w:rPr>
            </w:pPr>
          </w:p>
        </w:tc>
      </w:tr>
      <w:tr w:rsidR="00A7625D" w:rsidRPr="00A7625D" w14:paraId="4B361CEB"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180474E"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3</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413C6E0D" w14:textId="77777777" w:rsidR="00446B51" w:rsidRPr="00A7625D" w:rsidRDefault="00446B51" w:rsidP="00183A20">
            <w:pPr>
              <w:jc w:val="both"/>
              <w:rPr>
                <w:rFonts w:ascii="Century Gothic" w:hAnsi="Century Gothic" w:cs="Arial"/>
                <w:sz w:val="14"/>
                <w:szCs w:val="14"/>
                <w:lang w:val="es-PE"/>
              </w:rPr>
            </w:pPr>
            <w:r w:rsidRPr="00A7625D">
              <w:rPr>
                <w:rFonts w:ascii="Century Gothic" w:hAnsi="Century Gothic" w:cs="Arial"/>
                <w:sz w:val="14"/>
                <w:szCs w:val="14"/>
                <w:lang w:val="es-PE"/>
              </w:rPr>
              <w:t>Los contribuyentes cumplen con los requisitos de la aplicación temporal de una tasa reducida según D.L. N°1264.</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4656C615"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9F9F9E9"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5F510CC"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59241F2"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6F8A09A" w14:textId="77777777" w:rsidR="00446B51" w:rsidRPr="00A7625D" w:rsidRDefault="00446B51" w:rsidP="00183A20">
            <w:pPr>
              <w:rPr>
                <w:rFonts w:ascii="Century Gothic" w:hAnsi="Century Gothic" w:cs="Arial"/>
                <w:sz w:val="14"/>
                <w:szCs w:val="14"/>
                <w:lang w:val="es-PE"/>
              </w:rPr>
            </w:pPr>
          </w:p>
        </w:tc>
      </w:tr>
      <w:tr w:rsidR="00A7625D" w:rsidRPr="00A7625D" w14:paraId="06277EF4"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F9529C" w14:textId="1006E28E" w:rsidR="00446B51" w:rsidRPr="00A7625D" w:rsidRDefault="00446B51" w:rsidP="00E43DCC">
            <w:pPr>
              <w:ind w:left="102"/>
              <w:jc w:val="center"/>
              <w:rPr>
                <w:rFonts w:ascii="Century Gothic" w:hAnsi="Century Gothic" w:cs="Arial"/>
                <w:sz w:val="14"/>
                <w:szCs w:val="14"/>
              </w:rPr>
            </w:pPr>
            <w:r w:rsidRPr="00A7625D">
              <w:rPr>
                <w:rFonts w:ascii="Century Gothic" w:hAnsi="Century Gothic" w:cs="Arial"/>
                <w:sz w:val="14"/>
                <w:szCs w:val="14"/>
              </w:rPr>
              <w:t>4</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6BE2D18F" w14:textId="77777777" w:rsidR="00446B51" w:rsidRPr="00A7625D" w:rsidRDefault="00446B51" w:rsidP="00183A20">
            <w:pPr>
              <w:jc w:val="both"/>
              <w:rPr>
                <w:rFonts w:ascii="Century Gothic" w:hAnsi="Century Gothic" w:cs="Arial"/>
                <w:sz w:val="14"/>
                <w:szCs w:val="14"/>
                <w:lang w:val="es-PE"/>
              </w:rPr>
            </w:pPr>
            <w:r w:rsidRPr="00A7625D">
              <w:rPr>
                <w:rFonts w:ascii="Century Gothic" w:hAnsi="Century Gothic" w:cs="Arial"/>
                <w:sz w:val="14"/>
                <w:szCs w:val="14"/>
                <w:lang w:val="es-PE"/>
              </w:rPr>
              <w:t>Realiza una evaluación transparente en el cumplimiento de obligaciones tributarias de los contribuyentes.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778E3F33"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71B893B"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66C6018"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6AF5361"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F1EA832" w14:textId="77777777" w:rsidR="00446B51" w:rsidRPr="00A7625D" w:rsidRDefault="00446B51" w:rsidP="00183A20">
            <w:pPr>
              <w:rPr>
                <w:rFonts w:ascii="Century Gothic" w:hAnsi="Century Gothic" w:cs="Arial"/>
                <w:sz w:val="14"/>
                <w:szCs w:val="14"/>
                <w:lang w:val="es-PE"/>
              </w:rPr>
            </w:pPr>
          </w:p>
        </w:tc>
      </w:tr>
      <w:tr w:rsidR="00A7625D" w:rsidRPr="00A7625D" w14:paraId="5306B78F"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343E02A0" w14:textId="77777777" w:rsidR="00446B51" w:rsidRPr="00A7625D" w:rsidRDefault="00446B51" w:rsidP="00183A20">
            <w:pPr>
              <w:ind w:left="102"/>
              <w:jc w:val="center"/>
              <w:rPr>
                <w:rFonts w:ascii="Century Gothic" w:hAnsi="Century Gothic" w:cs="Arial"/>
                <w:sz w:val="14"/>
                <w:szCs w:val="14"/>
              </w:rPr>
            </w:pP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49F77F81" w14:textId="77777777" w:rsidR="00446B51" w:rsidRPr="00A7625D" w:rsidRDefault="00446B51" w:rsidP="00183A20">
            <w:pPr>
              <w:ind w:left="51" w:right="102"/>
              <w:rPr>
                <w:rFonts w:ascii="Century Gothic" w:hAnsi="Century Gothic" w:cs="Arial"/>
                <w:b/>
                <w:bCs/>
                <w:sz w:val="14"/>
                <w:szCs w:val="14"/>
                <w:lang w:val="es-PE"/>
              </w:rPr>
            </w:pPr>
            <w:r w:rsidRPr="00A7625D">
              <w:rPr>
                <w:rFonts w:ascii="Century Gothic" w:hAnsi="Century Gothic" w:cs="Arial"/>
                <w:b/>
                <w:bCs/>
                <w:sz w:val="14"/>
                <w:szCs w:val="14"/>
                <w:lang w:val="es-PE"/>
              </w:rPr>
              <w:t>Incentivo a la Declaración y Repatriación</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36E3475D"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83589E9"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48F8824A"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0AB3823"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39555BB"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5</w:t>
            </w:r>
          </w:p>
        </w:tc>
      </w:tr>
      <w:tr w:rsidR="00A7625D" w:rsidRPr="00A7625D" w14:paraId="02CC1DF4"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43BCB8F9"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5</w:t>
            </w:r>
          </w:p>
          <w:p w14:paraId="3A1101FF" w14:textId="77777777" w:rsidR="00446B51" w:rsidRPr="00A7625D" w:rsidRDefault="00446B51" w:rsidP="00183A20">
            <w:pPr>
              <w:ind w:left="102"/>
              <w:jc w:val="center"/>
              <w:rPr>
                <w:rFonts w:ascii="Century Gothic" w:hAnsi="Century Gothic" w:cs="Arial"/>
                <w:sz w:val="14"/>
                <w:szCs w:val="14"/>
              </w:rPr>
            </w:pP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39866FCD" w14:textId="77777777" w:rsidR="00446B51" w:rsidRPr="00A7625D" w:rsidRDefault="00446B51" w:rsidP="00183A20">
            <w:pPr>
              <w:ind w:right="101"/>
              <w:jc w:val="both"/>
              <w:rPr>
                <w:rFonts w:ascii="Century Gothic" w:hAnsi="Century Gothic" w:cs="Arial"/>
                <w:sz w:val="14"/>
                <w:szCs w:val="14"/>
                <w:lang w:val="es-PE"/>
              </w:rPr>
            </w:pPr>
            <w:r w:rsidRPr="00A7625D">
              <w:rPr>
                <w:rFonts w:ascii="Century Gothic" w:hAnsi="Century Gothic" w:cs="Arial"/>
                <w:sz w:val="14"/>
                <w:szCs w:val="14"/>
                <w:lang w:val="es-PE"/>
              </w:rPr>
              <w:t>Las opciones disponibles para revelar y Repatriar rentas no declaradas son percibidas como equitativas por todos los contribuyentes.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757BCEFB"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9C06646"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5206545"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6D9D9BD"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E83010C" w14:textId="77777777" w:rsidR="00446B51" w:rsidRPr="00A7625D" w:rsidRDefault="00446B51" w:rsidP="00183A20">
            <w:pPr>
              <w:rPr>
                <w:rFonts w:ascii="Century Gothic" w:hAnsi="Century Gothic" w:cs="Arial"/>
                <w:sz w:val="14"/>
                <w:szCs w:val="14"/>
                <w:lang w:val="es-PE"/>
              </w:rPr>
            </w:pPr>
          </w:p>
        </w:tc>
      </w:tr>
      <w:tr w:rsidR="00A7625D" w:rsidRPr="00A7625D" w14:paraId="315BC482"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BA5BF07"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6</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509E61E3" w14:textId="77777777" w:rsidR="00446B51" w:rsidRPr="00A7625D" w:rsidRDefault="00446B51" w:rsidP="00183A20">
            <w:pPr>
              <w:ind w:left="49" w:right="101"/>
              <w:jc w:val="both"/>
              <w:rPr>
                <w:rFonts w:ascii="Century Gothic" w:hAnsi="Century Gothic" w:cs="Arial"/>
                <w:sz w:val="14"/>
                <w:szCs w:val="14"/>
                <w:lang w:val="es-PE"/>
              </w:rPr>
            </w:pPr>
            <w:r w:rsidRPr="00A7625D">
              <w:rPr>
                <w:rFonts w:ascii="Century Gothic" w:hAnsi="Century Gothic" w:cs="Arial"/>
                <w:sz w:val="14"/>
                <w:szCs w:val="14"/>
                <w:lang w:val="es-PE"/>
              </w:rPr>
              <w:t>La corrección voluntaria de irregularidades fiscales por cierto grupo de personas garantiza un trato equitativo para los contribuyentes.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671E130F"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7CE1F3D"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9911326"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D983DD2"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48870C9" w14:textId="77777777" w:rsidR="00446B51" w:rsidRPr="00A7625D" w:rsidRDefault="00446B51" w:rsidP="00183A20">
            <w:pPr>
              <w:rPr>
                <w:rFonts w:ascii="Century Gothic" w:hAnsi="Century Gothic" w:cs="Arial"/>
                <w:sz w:val="14"/>
                <w:szCs w:val="14"/>
                <w:lang w:val="es-PE"/>
              </w:rPr>
            </w:pPr>
          </w:p>
        </w:tc>
      </w:tr>
      <w:tr w:rsidR="00A7625D" w:rsidRPr="00A7625D" w14:paraId="4C2DA98D"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288E81E0"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7</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7E192F42" w14:textId="77777777" w:rsidR="00446B51" w:rsidRPr="00A7625D" w:rsidRDefault="00446B51" w:rsidP="00183A20">
            <w:pPr>
              <w:ind w:left="49" w:right="101"/>
              <w:jc w:val="both"/>
              <w:rPr>
                <w:rFonts w:ascii="Century Gothic" w:hAnsi="Century Gothic" w:cs="Arial"/>
                <w:sz w:val="14"/>
                <w:szCs w:val="14"/>
                <w:lang w:val="es-PE"/>
              </w:rPr>
            </w:pPr>
            <w:r w:rsidRPr="00A7625D">
              <w:rPr>
                <w:rFonts w:ascii="Century Gothic" w:hAnsi="Century Gothic" w:cs="Arial"/>
                <w:sz w:val="14"/>
                <w:szCs w:val="14"/>
                <w:lang w:val="es-PE"/>
              </w:rPr>
              <w:t>La aplicación de la tasa reducida que establece el D.L.1264 permite un beneficio financiero para los contribuyentes.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273702B8"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701D8C"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C2A2906"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874A89D"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E757C49" w14:textId="77777777" w:rsidR="00446B51" w:rsidRPr="00A7625D" w:rsidRDefault="00446B51" w:rsidP="00183A20">
            <w:pPr>
              <w:rPr>
                <w:rFonts w:ascii="Century Gothic" w:hAnsi="Century Gothic" w:cs="Arial"/>
                <w:sz w:val="14"/>
                <w:szCs w:val="14"/>
                <w:lang w:val="es-PE"/>
              </w:rPr>
            </w:pPr>
          </w:p>
        </w:tc>
      </w:tr>
      <w:tr w:rsidR="00A7625D" w:rsidRPr="00A7625D" w14:paraId="4803B962"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ECE666F"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8</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1F3C6C7E" w14:textId="77777777" w:rsidR="00446B51" w:rsidRPr="00A7625D" w:rsidRDefault="00446B51" w:rsidP="00183A20">
            <w:pPr>
              <w:ind w:left="49" w:right="101"/>
              <w:jc w:val="both"/>
              <w:rPr>
                <w:rFonts w:ascii="Century Gothic" w:hAnsi="Century Gothic" w:cs="Arial"/>
                <w:sz w:val="14"/>
                <w:szCs w:val="14"/>
                <w:lang w:val="es-PE"/>
              </w:rPr>
            </w:pPr>
            <w:r w:rsidRPr="00A7625D">
              <w:rPr>
                <w:rFonts w:ascii="Century Gothic" w:hAnsi="Century Gothic" w:cs="Arial"/>
                <w:sz w:val="14"/>
                <w:szCs w:val="14"/>
                <w:lang w:val="es-PE"/>
              </w:rPr>
              <w:t>La corrección voluntaria de irregularidades fiscales por parte de los contribuyentes contribuye a la transparencia del sistema tributario.</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6C1AF224"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0C83D25"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CDEAE32"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5CDBABD"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081A0D4" w14:textId="77777777" w:rsidR="00446B51" w:rsidRPr="00A7625D" w:rsidRDefault="00446B51" w:rsidP="00183A20">
            <w:pPr>
              <w:rPr>
                <w:rFonts w:ascii="Century Gothic" w:hAnsi="Century Gothic" w:cs="Arial"/>
                <w:sz w:val="14"/>
                <w:szCs w:val="14"/>
                <w:lang w:val="es-PE"/>
              </w:rPr>
            </w:pPr>
          </w:p>
        </w:tc>
      </w:tr>
      <w:tr w:rsidR="00A7625D" w:rsidRPr="00A7625D" w14:paraId="72403EE7"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EFDE3CE" w14:textId="77777777" w:rsidR="00446B51" w:rsidRPr="00A7625D" w:rsidRDefault="00446B51" w:rsidP="00183A20">
            <w:pPr>
              <w:ind w:left="102"/>
              <w:jc w:val="center"/>
              <w:rPr>
                <w:rFonts w:ascii="Century Gothic" w:hAnsi="Century Gothic" w:cs="Arial"/>
                <w:sz w:val="14"/>
                <w:szCs w:val="14"/>
              </w:rPr>
            </w:pPr>
            <w:bookmarkStart w:id="2" w:name="_Hlk153823082"/>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4D192F13" w14:textId="77777777" w:rsidR="00446B51" w:rsidRPr="00A7625D" w:rsidRDefault="00446B51" w:rsidP="00183A20">
            <w:pPr>
              <w:ind w:left="49" w:right="101"/>
              <w:rPr>
                <w:rFonts w:ascii="Century Gothic" w:hAnsi="Century Gothic" w:cs="Arial"/>
                <w:b/>
                <w:bCs/>
                <w:sz w:val="14"/>
                <w:szCs w:val="14"/>
              </w:rPr>
            </w:pPr>
            <w:r w:rsidRPr="00A7625D">
              <w:rPr>
                <w:rFonts w:ascii="Century Gothic" w:hAnsi="Century Gothic" w:cs="Arial"/>
                <w:b/>
                <w:bCs/>
                <w:sz w:val="14"/>
                <w:szCs w:val="14"/>
                <w:lang w:val="es-PE"/>
              </w:rPr>
              <w:t>Relación con Obligaciones Fiscales y Políticas Tributarias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5A2FD28E"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7AD6594"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21ED05B"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32C1AFD"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E140CEA" w14:textId="77777777" w:rsidR="00446B51" w:rsidRPr="00A7625D" w:rsidRDefault="00446B51" w:rsidP="00183A20">
            <w:pPr>
              <w:rPr>
                <w:rFonts w:ascii="Century Gothic" w:hAnsi="Century Gothic" w:cs="Arial"/>
                <w:sz w:val="14"/>
                <w:szCs w:val="14"/>
                <w:lang w:val="es-PE"/>
              </w:rPr>
            </w:pPr>
            <w:r w:rsidRPr="00A7625D">
              <w:rPr>
                <w:rFonts w:ascii="Century Gothic" w:hAnsi="Century Gothic" w:cs="Arial"/>
                <w:sz w:val="14"/>
                <w:szCs w:val="14"/>
              </w:rPr>
              <w:t>5</w:t>
            </w:r>
          </w:p>
        </w:tc>
      </w:tr>
      <w:bookmarkEnd w:id="2"/>
      <w:tr w:rsidR="00A7625D" w:rsidRPr="00A7625D" w14:paraId="625B129C"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25BA2938"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9</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71CC0236" w14:textId="67E3F1D0" w:rsidR="00446B51" w:rsidRPr="00A7625D" w:rsidRDefault="00446B51" w:rsidP="00183A20">
            <w:pPr>
              <w:ind w:left="49" w:right="101"/>
              <w:jc w:val="both"/>
              <w:rPr>
                <w:rFonts w:ascii="Century Gothic" w:hAnsi="Century Gothic" w:cs="Arial"/>
                <w:sz w:val="14"/>
                <w:szCs w:val="14"/>
              </w:rPr>
            </w:pPr>
            <w:r w:rsidRPr="00A7625D">
              <w:rPr>
                <w:rFonts w:ascii="Century Gothic" w:hAnsi="Century Gothic" w:cs="Arial"/>
                <w:sz w:val="14"/>
                <w:szCs w:val="14"/>
                <w:lang w:val="es-PE"/>
              </w:rPr>
              <w:t>Las rentas no declaradas que anteriormente no estaban bajo la supervisión de la Administración fueron incluidas en su totalidad en la declaración jurada.</w:t>
            </w:r>
            <w:r w:rsidR="0039303F" w:rsidRPr="00A7625D">
              <w:rPr>
                <w:rFonts w:ascii="Century Gothic" w:hAnsi="Century Gothic" w:cs="Arial"/>
                <w:sz w:val="14"/>
                <w:szCs w:val="14"/>
                <w:lang w:val="es-PE"/>
              </w:rPr>
              <w:t xml:space="preserve"> </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3A7DCCA6"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720E00A"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33F8A0C"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79F9A7F"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0F6AD17" w14:textId="77777777" w:rsidR="00446B51" w:rsidRPr="00A7625D" w:rsidRDefault="00446B51" w:rsidP="00183A20">
            <w:pPr>
              <w:rPr>
                <w:rFonts w:ascii="Century Gothic" w:hAnsi="Century Gothic" w:cs="Arial"/>
                <w:sz w:val="14"/>
                <w:szCs w:val="14"/>
                <w:lang w:val="es-PE"/>
              </w:rPr>
            </w:pPr>
          </w:p>
        </w:tc>
      </w:tr>
      <w:tr w:rsidR="00A7625D" w:rsidRPr="00A7625D" w14:paraId="1322BB03"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AE5E0E8"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10</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3FF2163F" w14:textId="77777777" w:rsidR="00446B51" w:rsidRPr="00A7625D" w:rsidRDefault="00446B51" w:rsidP="00183A20">
            <w:pPr>
              <w:ind w:left="49" w:right="101"/>
              <w:jc w:val="both"/>
              <w:rPr>
                <w:rFonts w:ascii="Century Gothic" w:hAnsi="Century Gothic" w:cs="Arial"/>
                <w:sz w:val="14"/>
                <w:szCs w:val="14"/>
              </w:rPr>
            </w:pPr>
            <w:r w:rsidRPr="00A7625D">
              <w:rPr>
                <w:rFonts w:ascii="Century Gothic" w:hAnsi="Century Gothic" w:cs="Arial"/>
                <w:sz w:val="14"/>
                <w:szCs w:val="14"/>
              </w:rPr>
              <w:t>La repatriación de rentas no declaradas contribuye al cumplimiento de responsabilidades impositivas.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454C534A"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C242702"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31F94B7F"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3D223D3"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FB52393" w14:textId="77777777" w:rsidR="00446B51" w:rsidRPr="00A7625D" w:rsidRDefault="00446B51" w:rsidP="00183A20">
            <w:pPr>
              <w:rPr>
                <w:rFonts w:ascii="Century Gothic" w:hAnsi="Century Gothic" w:cs="Arial"/>
                <w:sz w:val="14"/>
                <w:szCs w:val="14"/>
                <w:lang w:val="es-PE"/>
              </w:rPr>
            </w:pPr>
          </w:p>
        </w:tc>
      </w:tr>
      <w:tr w:rsidR="00A7625D" w:rsidRPr="00A7625D" w14:paraId="0A44C247" w14:textId="77777777" w:rsidTr="00A1187B">
        <w:trPr>
          <w:gridAfter w:val="1"/>
          <w:wAfter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366D1844" w14:textId="77777777" w:rsidR="00446B51" w:rsidRPr="00A7625D" w:rsidRDefault="00446B51" w:rsidP="00183A20">
            <w:pPr>
              <w:ind w:left="102"/>
              <w:jc w:val="center"/>
              <w:rPr>
                <w:rFonts w:ascii="Century Gothic" w:hAnsi="Century Gothic" w:cs="Arial"/>
                <w:sz w:val="14"/>
                <w:szCs w:val="14"/>
              </w:rPr>
            </w:pPr>
            <w:r w:rsidRPr="00A7625D">
              <w:rPr>
                <w:rFonts w:ascii="Century Gothic" w:hAnsi="Century Gothic" w:cs="Arial"/>
                <w:sz w:val="14"/>
                <w:szCs w:val="14"/>
              </w:rPr>
              <w:t>11</w:t>
            </w:r>
          </w:p>
        </w:tc>
        <w:tc>
          <w:tcPr>
            <w:tcW w:w="5995" w:type="dxa"/>
            <w:gridSpan w:val="2"/>
            <w:tcBorders>
              <w:top w:val="single" w:sz="5" w:space="0" w:color="000000"/>
              <w:left w:val="single" w:sz="5" w:space="0" w:color="000000"/>
              <w:bottom w:val="single" w:sz="5" w:space="0" w:color="000000"/>
              <w:right w:val="single" w:sz="5" w:space="0" w:color="000000"/>
            </w:tcBorders>
            <w:shd w:val="clear" w:color="auto" w:fill="CBD3DF"/>
          </w:tcPr>
          <w:p w14:paraId="1248A8B2" w14:textId="77777777" w:rsidR="00446B51" w:rsidRPr="00A7625D" w:rsidRDefault="00446B51" w:rsidP="00183A20">
            <w:pPr>
              <w:ind w:left="49" w:right="101"/>
              <w:jc w:val="both"/>
              <w:rPr>
                <w:rFonts w:ascii="Century Gothic" w:hAnsi="Century Gothic" w:cs="Arial"/>
                <w:sz w:val="14"/>
                <w:szCs w:val="14"/>
              </w:rPr>
            </w:pPr>
            <w:r w:rsidRPr="00A7625D">
              <w:rPr>
                <w:rFonts w:ascii="Century Gothic" w:hAnsi="Century Gothic" w:cs="Arial"/>
                <w:sz w:val="14"/>
                <w:szCs w:val="14"/>
              </w:rPr>
              <w:t>Las regulaciones del sistema tributario facilitan el cumplimiento de las obligaciones fiscales por parte de los contribuyentes.</w:t>
            </w:r>
          </w:p>
        </w:tc>
        <w:tc>
          <w:tcPr>
            <w:tcW w:w="400" w:type="dxa"/>
            <w:tcBorders>
              <w:top w:val="single" w:sz="5" w:space="0" w:color="000000"/>
              <w:left w:val="single" w:sz="5" w:space="0" w:color="000000"/>
              <w:bottom w:val="single" w:sz="5" w:space="0" w:color="000000"/>
              <w:right w:val="single" w:sz="5" w:space="0" w:color="000000"/>
            </w:tcBorders>
            <w:shd w:val="clear" w:color="auto" w:fill="CBD3DF"/>
          </w:tcPr>
          <w:p w14:paraId="087C6CCA"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86636BC" w14:textId="77777777" w:rsidR="00446B51" w:rsidRPr="00A7625D" w:rsidRDefault="00446B51" w:rsidP="00183A20">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44E8A5C"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1ED0E1" w14:textId="77777777" w:rsidR="00446B51" w:rsidRPr="00A7625D" w:rsidRDefault="00446B51" w:rsidP="00183A20">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D3FF91E" w14:textId="77777777" w:rsidR="00446B51" w:rsidRPr="00A7625D" w:rsidRDefault="00446B51" w:rsidP="00183A20">
            <w:pPr>
              <w:rPr>
                <w:rFonts w:ascii="Century Gothic" w:hAnsi="Century Gothic" w:cs="Arial"/>
                <w:sz w:val="14"/>
                <w:szCs w:val="14"/>
                <w:lang w:val="es-PE"/>
              </w:rPr>
            </w:pPr>
          </w:p>
        </w:tc>
      </w:tr>
      <w:tr w:rsidR="00A7625D" w:rsidRPr="00A7625D" w14:paraId="744F3752"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80AF737"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12</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57BAE46D"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Las garantías de conformidad de las normas legales en el sistema tributario brindan una base sólida para asegurar el cumplimiento de obligaciones.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37DA15B8"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48011CE"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037DD23"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A2B3E42"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800732B" w14:textId="77777777" w:rsidR="00446B51" w:rsidRPr="00A7625D" w:rsidRDefault="00446B51" w:rsidP="00E57EC2">
            <w:pPr>
              <w:rPr>
                <w:rFonts w:ascii="Century Gothic" w:hAnsi="Century Gothic" w:cs="Arial"/>
                <w:sz w:val="14"/>
                <w:szCs w:val="14"/>
                <w:lang w:val="es-PE"/>
              </w:rPr>
            </w:pPr>
          </w:p>
        </w:tc>
      </w:tr>
      <w:bookmarkStart w:id="3" w:name="_Hlk160893799"/>
      <w:tr w:rsidR="00A7625D" w:rsidRPr="00A7625D" w14:paraId="4C5E65C1"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E0A4AEA" w14:textId="77777777" w:rsidR="00446B51" w:rsidRPr="00A7625D" w:rsidRDefault="00446B51" w:rsidP="00446B51">
            <w:pPr>
              <w:ind w:left="102"/>
              <w:jc w:val="center"/>
              <w:rPr>
                <w:rFonts w:ascii="Century Gothic" w:hAnsi="Century Gothic" w:cs="Arial"/>
                <w:sz w:val="14"/>
                <w:szCs w:val="14"/>
              </w:rPr>
            </w:pPr>
            <w:r w:rsidRPr="00A7625D">
              <w:rPr>
                <w:rFonts w:ascii="Century Gothic" w:hAnsi="Century Gothic" w:cs="Arial"/>
                <w:noProof/>
                <w:sz w:val="14"/>
                <w:szCs w:val="14"/>
              </w:rPr>
              <mc:AlternateContent>
                <mc:Choice Requires="wps">
                  <w:drawing>
                    <wp:anchor distT="0" distB="0" distL="114300" distR="114300" simplePos="0" relativeHeight="251661312" behindDoc="0" locked="0" layoutInCell="1" allowOverlap="1" wp14:anchorId="15C93EE0" wp14:editId="647DDA5C">
                      <wp:simplePos x="0" y="0"/>
                      <wp:positionH relativeFrom="column">
                        <wp:posOffset>5429995</wp:posOffset>
                      </wp:positionH>
                      <wp:positionV relativeFrom="paragraph">
                        <wp:posOffset>5599375</wp:posOffset>
                      </wp:positionV>
                      <wp:extent cx="248479" cy="218661"/>
                      <wp:effectExtent l="0" t="0" r="18415" b="10160"/>
                      <wp:wrapNone/>
                      <wp:docPr id="21" name="Elipse 2"/>
                      <wp:cNvGraphicFramePr/>
                      <a:graphic xmlns:a="http://schemas.openxmlformats.org/drawingml/2006/main">
                        <a:graphicData uri="http://schemas.microsoft.com/office/word/2010/wordprocessingShape">
                          <wps:wsp>
                            <wps:cNvSpPr/>
                            <wps:spPr>
                              <a:xfrm>
                                <a:off x="0" y="0"/>
                                <a:ext cx="248479" cy="21866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AFF73" id="Elipse 2" o:spid="_x0000_s1026" style="position:absolute;margin-left:427.55pt;margin-top:440.9pt;width:19.55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" fillcolor="white [3212]" strokecolor="white [3212]" strokeweight="1pt">
                      <v:stroke joinstyle="miter"/>
                    </v:oval>
                  </w:pict>
                </mc:Fallback>
              </mc:AlternateContent>
            </w:r>
            <w:r w:rsidRPr="00A7625D">
              <w:rPr>
                <w:rFonts w:ascii="Century Gothic" w:hAnsi="Century Gothic" w:cs="Arial"/>
                <w:sz w:val="14"/>
                <w:szCs w:val="14"/>
              </w:rPr>
              <w:t>N°</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0BE8ABE2" w14:textId="77777777" w:rsidR="00446B51" w:rsidRPr="00A7625D" w:rsidRDefault="00446B51" w:rsidP="00446B51">
            <w:pPr>
              <w:ind w:left="49" w:right="101"/>
              <w:jc w:val="both"/>
              <w:rPr>
                <w:rFonts w:ascii="Century Gothic" w:hAnsi="Century Gothic" w:cs="Arial"/>
                <w:b/>
                <w:bCs/>
                <w:sz w:val="14"/>
                <w:szCs w:val="14"/>
              </w:rPr>
            </w:pPr>
            <w:r w:rsidRPr="00A7625D">
              <w:rPr>
                <w:rFonts w:ascii="Century Gothic" w:hAnsi="Century Gothic" w:cs="Arial"/>
                <w:b/>
                <w:bCs/>
                <w:sz w:val="14"/>
                <w:szCs w:val="14"/>
              </w:rPr>
              <w:t>Imposición Justa y Equitativa de Impuestos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7816AB67"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8BA985D"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4973EAB2"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EFF905E"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D5260F5"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5</w:t>
            </w:r>
          </w:p>
        </w:tc>
      </w:tr>
      <w:tr w:rsidR="00A7625D" w:rsidRPr="00A7625D" w14:paraId="4E95F61F"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C727348"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13</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2DBD66A7"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 tasa de retención del impuesto a la renta en los contribuyentes acogidos al régimen de repatriación es percibida como justa y equitativa.</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5617D1CF"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AD8D46E"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B5A5ED3"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4F476A0"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177DE3F" w14:textId="77777777" w:rsidR="00446B51" w:rsidRPr="00A7625D" w:rsidRDefault="00446B51" w:rsidP="00E57EC2">
            <w:pPr>
              <w:rPr>
                <w:rFonts w:ascii="Century Gothic" w:hAnsi="Century Gothic" w:cs="Arial"/>
                <w:sz w:val="14"/>
                <w:szCs w:val="14"/>
                <w:lang w:val="es-PE"/>
              </w:rPr>
            </w:pPr>
          </w:p>
        </w:tc>
      </w:tr>
      <w:tr w:rsidR="00A7625D" w:rsidRPr="00A7625D" w14:paraId="6E419AB6"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A0FD7EE"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14</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7CDBA90A" w14:textId="77777777" w:rsidR="00446B51" w:rsidRPr="00A7625D" w:rsidRDefault="00446B51" w:rsidP="00446B51">
            <w:pPr>
              <w:ind w:left="49" w:right="101"/>
              <w:jc w:val="both"/>
              <w:rPr>
                <w:rFonts w:ascii="Century Gothic" w:hAnsi="Century Gothic" w:cs="Arial"/>
                <w:sz w:val="14"/>
                <w:szCs w:val="14"/>
              </w:rPr>
            </w:pPr>
            <w:r w:rsidRPr="00A7625D">
              <w:rPr>
                <w:rFonts w:ascii="Century Gothic" w:hAnsi="Century Gothic" w:cs="Arial"/>
                <w:sz w:val="14"/>
                <w:szCs w:val="14"/>
              </w:rPr>
              <w:t>Otorgar beneficios indebidos o tratos discriminatorios garantiza el principio de igualdad en el cumplimiento de obligaciones fiscales.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11F0CDD6"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E153F1E"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0233A76"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286B589"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4EEF533" w14:textId="77777777" w:rsidR="00446B51" w:rsidRPr="00A7625D" w:rsidRDefault="00446B51" w:rsidP="00E57EC2">
            <w:pPr>
              <w:rPr>
                <w:rFonts w:ascii="Century Gothic" w:hAnsi="Century Gothic" w:cs="Arial"/>
                <w:sz w:val="14"/>
                <w:szCs w:val="14"/>
                <w:lang w:val="es-PE"/>
              </w:rPr>
            </w:pPr>
          </w:p>
        </w:tc>
      </w:tr>
      <w:tr w:rsidR="00A7625D" w:rsidRPr="00A7625D" w14:paraId="69E992E7"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5D93B9D"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15</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59D0EDD8" w14:textId="77777777" w:rsidR="00446B51" w:rsidRPr="00A7625D" w:rsidRDefault="00446B51" w:rsidP="00446B51">
            <w:pPr>
              <w:ind w:left="49" w:right="101"/>
              <w:jc w:val="both"/>
              <w:rPr>
                <w:rFonts w:ascii="Century Gothic" w:hAnsi="Century Gothic" w:cs="Arial"/>
                <w:sz w:val="14"/>
                <w:szCs w:val="14"/>
              </w:rPr>
            </w:pPr>
            <w:r w:rsidRPr="00A7625D">
              <w:rPr>
                <w:rFonts w:ascii="Century Gothic" w:hAnsi="Century Gothic" w:cs="Arial"/>
                <w:sz w:val="14"/>
                <w:szCs w:val="14"/>
              </w:rPr>
              <w:t>Sunat implementa estrategias para evitar privilegios y asegurar la equidad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3F416251"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A659804"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36859C15"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EC1A82C"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65D71F5" w14:textId="77777777" w:rsidR="00446B51" w:rsidRPr="00A7625D" w:rsidRDefault="00446B51" w:rsidP="00E57EC2">
            <w:pPr>
              <w:rPr>
                <w:rFonts w:ascii="Century Gothic" w:hAnsi="Century Gothic" w:cs="Arial"/>
                <w:sz w:val="14"/>
                <w:szCs w:val="14"/>
                <w:lang w:val="es-PE"/>
              </w:rPr>
            </w:pPr>
          </w:p>
        </w:tc>
      </w:tr>
      <w:tr w:rsidR="00A7625D" w:rsidRPr="00A7625D" w14:paraId="4A423AC9"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40B58C06"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16</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0FC98F6F" w14:textId="77777777" w:rsidR="00446B51" w:rsidRPr="00A7625D" w:rsidRDefault="00446B51" w:rsidP="00446B51">
            <w:pPr>
              <w:ind w:left="49" w:right="101"/>
              <w:jc w:val="both"/>
              <w:rPr>
                <w:rFonts w:ascii="Century Gothic" w:hAnsi="Century Gothic" w:cs="Arial"/>
                <w:sz w:val="14"/>
                <w:szCs w:val="14"/>
              </w:rPr>
            </w:pPr>
            <w:r w:rsidRPr="00A7625D">
              <w:rPr>
                <w:rFonts w:ascii="Century Gothic" w:hAnsi="Century Gothic" w:cs="Arial"/>
                <w:sz w:val="14"/>
                <w:szCs w:val="14"/>
              </w:rPr>
              <w:t>Se aplican medidas efectivas de trato igualitario a fin de garantizar la equidad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42905337"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5D5402B"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10B8DA2"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3455BCA"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6DF295A" w14:textId="77777777" w:rsidR="00446B51" w:rsidRPr="00A7625D" w:rsidRDefault="00446B51" w:rsidP="00E57EC2">
            <w:pPr>
              <w:rPr>
                <w:rFonts w:ascii="Century Gothic" w:hAnsi="Century Gothic" w:cs="Arial"/>
                <w:sz w:val="14"/>
                <w:szCs w:val="14"/>
                <w:lang w:val="es-PE"/>
              </w:rPr>
            </w:pPr>
          </w:p>
        </w:tc>
      </w:tr>
      <w:tr w:rsidR="00A7625D" w:rsidRPr="00A7625D" w14:paraId="59EDD39B"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9D609BB" w14:textId="77777777" w:rsidR="00446B51" w:rsidRPr="00A7625D" w:rsidRDefault="00446B51" w:rsidP="00446B51">
            <w:pPr>
              <w:ind w:left="102"/>
              <w:jc w:val="center"/>
              <w:rPr>
                <w:rFonts w:ascii="Century Gothic" w:hAnsi="Century Gothic" w:cs="Arial"/>
                <w:sz w:val="14"/>
                <w:szCs w:val="14"/>
              </w:rPr>
            </w:pP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53404D88" w14:textId="77777777" w:rsidR="00446B51" w:rsidRPr="00A7625D" w:rsidRDefault="00446B51" w:rsidP="00446B51">
            <w:pPr>
              <w:ind w:left="49" w:right="101"/>
              <w:jc w:val="both"/>
              <w:rPr>
                <w:rFonts w:ascii="Century Gothic" w:hAnsi="Century Gothic" w:cs="Arial"/>
                <w:b/>
                <w:bCs/>
                <w:sz w:val="14"/>
                <w:szCs w:val="14"/>
              </w:rPr>
            </w:pPr>
            <w:r w:rsidRPr="00A7625D">
              <w:rPr>
                <w:rFonts w:ascii="Century Gothic" w:hAnsi="Century Gothic" w:cs="Arial"/>
                <w:b/>
                <w:bCs/>
                <w:sz w:val="14"/>
                <w:szCs w:val="14"/>
              </w:rPr>
              <w:t>Equidad y Justa Distribución de la Carga Fiscal</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64EB4B3F"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1B29EDB"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2C8511C6"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807A715"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8A1956A" w14:textId="77777777" w:rsidR="00446B51" w:rsidRPr="00A7625D" w:rsidRDefault="00446B51" w:rsidP="00446B51">
            <w:pPr>
              <w:rPr>
                <w:rFonts w:ascii="Century Gothic" w:hAnsi="Century Gothic" w:cs="Arial"/>
                <w:sz w:val="14"/>
                <w:szCs w:val="14"/>
                <w:lang w:val="es-PE"/>
              </w:rPr>
            </w:pPr>
            <w:r w:rsidRPr="00A7625D">
              <w:rPr>
                <w:rFonts w:ascii="Century Gothic" w:hAnsi="Century Gothic" w:cs="Arial"/>
                <w:sz w:val="14"/>
                <w:szCs w:val="14"/>
                <w:lang w:val="es-PE"/>
              </w:rPr>
              <w:t>5</w:t>
            </w:r>
          </w:p>
        </w:tc>
      </w:tr>
      <w:tr w:rsidR="00A7625D" w:rsidRPr="00A7625D" w14:paraId="186C0E6C"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3DBC1D2"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17</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70A746F7"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El tratamiento desigual en el régimen de repatriación de rentas no declaradas impacta en la confianza hacia la Administración Tributaria.</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5C5A5BFA"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187758B"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4B5024E"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F2635A3"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7E49D1B" w14:textId="77777777" w:rsidR="00446B51" w:rsidRPr="00A7625D" w:rsidRDefault="00446B51" w:rsidP="00E57EC2">
            <w:pPr>
              <w:rPr>
                <w:rFonts w:ascii="Century Gothic" w:hAnsi="Century Gothic" w:cs="Arial"/>
                <w:sz w:val="14"/>
                <w:szCs w:val="14"/>
                <w:lang w:val="es-PE"/>
              </w:rPr>
            </w:pPr>
          </w:p>
        </w:tc>
      </w:tr>
      <w:tr w:rsidR="00A7625D" w:rsidRPr="00A7625D" w14:paraId="505B2E75"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71F139"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18</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223FBCB9"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El deber de contribuir se fortalecería si se otorgan beneficios específicos a ciertos contribuyentes en el régimen de repatriación de rentas no declaradas.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0237D4B6"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2E7F2E1"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75D7464"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2746D1DC"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2ED9ADE" w14:textId="77777777" w:rsidR="00446B51" w:rsidRPr="00A7625D" w:rsidRDefault="00446B51" w:rsidP="00E57EC2">
            <w:pPr>
              <w:rPr>
                <w:rFonts w:ascii="Century Gothic" w:hAnsi="Century Gothic" w:cs="Arial"/>
                <w:sz w:val="14"/>
                <w:szCs w:val="14"/>
                <w:lang w:val="es-PE"/>
              </w:rPr>
            </w:pPr>
          </w:p>
        </w:tc>
      </w:tr>
      <w:tr w:rsidR="00A7625D" w:rsidRPr="00A7625D" w14:paraId="3CD5AA2B"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512295A"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19</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34C93C49"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Sunat implementa iniciativas y políticas para el fortalecimiento de la percepción de justicia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271A8726"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FBF9359"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33848F4E"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F7A723B"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77D4BE7" w14:textId="77777777" w:rsidR="00446B51" w:rsidRPr="00A7625D" w:rsidRDefault="00446B51" w:rsidP="00E57EC2">
            <w:pPr>
              <w:rPr>
                <w:rFonts w:ascii="Century Gothic" w:hAnsi="Century Gothic" w:cs="Arial"/>
                <w:sz w:val="14"/>
                <w:szCs w:val="14"/>
                <w:lang w:val="es-PE"/>
              </w:rPr>
            </w:pPr>
          </w:p>
        </w:tc>
      </w:tr>
      <w:tr w:rsidR="00A7625D" w:rsidRPr="00A7625D" w14:paraId="5587D94D"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BEE17DF"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20</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2816C791"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Las acciones y políticas implementadas por la Administración Tributaria para promover la confianza de los Contribuyentes han sido efectivas.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0CF2BB67"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70C1AF5"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6732038"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9A7B773"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0235659D" w14:textId="77777777" w:rsidR="00446B51" w:rsidRPr="00A7625D" w:rsidRDefault="00446B51" w:rsidP="00E57EC2">
            <w:pPr>
              <w:rPr>
                <w:rFonts w:ascii="Century Gothic" w:hAnsi="Century Gothic" w:cs="Arial"/>
                <w:sz w:val="14"/>
                <w:szCs w:val="14"/>
                <w:lang w:val="es-PE"/>
              </w:rPr>
            </w:pPr>
          </w:p>
        </w:tc>
      </w:tr>
      <w:tr w:rsidR="00A7625D" w:rsidRPr="00A7625D" w14:paraId="1E7E983B"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57A851B0" w14:textId="77777777" w:rsidR="00446B51" w:rsidRPr="00A7625D" w:rsidRDefault="00446B51" w:rsidP="00E57EC2">
            <w:pPr>
              <w:ind w:left="102"/>
              <w:jc w:val="center"/>
              <w:rPr>
                <w:rFonts w:ascii="Century Gothic" w:hAnsi="Century Gothic" w:cs="Arial"/>
                <w:sz w:val="14"/>
                <w:szCs w:val="14"/>
              </w:rPr>
            </w:pP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6F52C14C" w14:textId="77777777" w:rsidR="00446B51" w:rsidRPr="00A7625D" w:rsidRDefault="00446B51" w:rsidP="00446B51">
            <w:pPr>
              <w:ind w:left="49" w:right="101"/>
              <w:jc w:val="both"/>
              <w:rPr>
                <w:rFonts w:ascii="Century Gothic" w:hAnsi="Century Gothic" w:cs="Arial"/>
                <w:b/>
                <w:bCs/>
                <w:sz w:val="14"/>
                <w:szCs w:val="14"/>
              </w:rPr>
            </w:pPr>
            <w:r w:rsidRPr="00A7625D">
              <w:rPr>
                <w:rFonts w:ascii="Century Gothic" w:hAnsi="Century Gothic" w:cs="Arial"/>
                <w:b/>
                <w:bCs/>
                <w:sz w:val="14"/>
                <w:szCs w:val="14"/>
              </w:rPr>
              <w:t>Fortalecimiento de la Confianza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54CE842F" w14:textId="77777777" w:rsidR="00446B51" w:rsidRPr="00A7625D" w:rsidRDefault="00446B51" w:rsidP="00E57EC2">
            <w:pPr>
              <w:rPr>
                <w:rFonts w:ascii="Century Gothic" w:hAnsi="Century Gothic" w:cs="Arial"/>
                <w:sz w:val="14"/>
                <w:szCs w:val="14"/>
                <w:lang w:val="es-PE"/>
              </w:rPr>
            </w:pPr>
            <w:r w:rsidRPr="00A7625D">
              <w:rPr>
                <w:rFonts w:ascii="Century Gothic" w:hAnsi="Century Gothic" w:cs="Arial"/>
                <w:sz w:val="14"/>
                <w:szCs w:val="14"/>
                <w:lang w:val="es-PE"/>
              </w:rPr>
              <w:t>1</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1B1D76B" w14:textId="77777777" w:rsidR="00446B51" w:rsidRPr="00A7625D" w:rsidRDefault="00446B51" w:rsidP="00E57EC2">
            <w:pPr>
              <w:rPr>
                <w:rFonts w:ascii="Century Gothic" w:hAnsi="Century Gothic" w:cs="Arial"/>
                <w:sz w:val="14"/>
                <w:szCs w:val="14"/>
                <w:lang w:val="es-PE"/>
              </w:rPr>
            </w:pPr>
            <w:r w:rsidRPr="00A7625D">
              <w:rPr>
                <w:rFonts w:ascii="Century Gothic" w:hAnsi="Century Gothic" w:cs="Arial"/>
                <w:sz w:val="14"/>
                <w:szCs w:val="14"/>
                <w:lang w:val="es-PE"/>
              </w:rPr>
              <w:t>2</w:t>
            </w: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EA1DD43" w14:textId="77777777" w:rsidR="00446B51" w:rsidRPr="00A7625D" w:rsidRDefault="00446B51" w:rsidP="00E57EC2">
            <w:pPr>
              <w:rPr>
                <w:rFonts w:ascii="Century Gothic" w:hAnsi="Century Gothic" w:cs="Arial"/>
                <w:sz w:val="14"/>
                <w:szCs w:val="14"/>
                <w:lang w:val="es-PE"/>
              </w:rPr>
            </w:pPr>
            <w:r w:rsidRPr="00A7625D">
              <w:rPr>
                <w:rFonts w:ascii="Century Gothic" w:hAnsi="Century Gothic" w:cs="Arial"/>
                <w:sz w:val="14"/>
                <w:szCs w:val="14"/>
                <w:lang w:val="es-PE"/>
              </w:rPr>
              <w:t>3</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2B258C9" w14:textId="77777777" w:rsidR="00446B51" w:rsidRPr="00A7625D" w:rsidRDefault="00446B51" w:rsidP="00E57EC2">
            <w:pPr>
              <w:rPr>
                <w:rFonts w:ascii="Century Gothic" w:hAnsi="Century Gothic" w:cs="Arial"/>
                <w:sz w:val="14"/>
                <w:szCs w:val="14"/>
                <w:lang w:val="es-PE"/>
              </w:rPr>
            </w:pPr>
            <w:r w:rsidRPr="00A7625D">
              <w:rPr>
                <w:rFonts w:ascii="Century Gothic" w:hAnsi="Century Gothic" w:cs="Arial"/>
                <w:sz w:val="14"/>
                <w:szCs w:val="14"/>
                <w:lang w:val="es-PE"/>
              </w:rPr>
              <w:t>4</w:t>
            </w: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F050431" w14:textId="77777777" w:rsidR="00446B51" w:rsidRPr="00A7625D" w:rsidRDefault="00446B51" w:rsidP="00E57EC2">
            <w:pPr>
              <w:rPr>
                <w:rFonts w:ascii="Century Gothic" w:hAnsi="Century Gothic" w:cs="Arial"/>
                <w:sz w:val="14"/>
                <w:szCs w:val="14"/>
                <w:lang w:val="es-PE"/>
              </w:rPr>
            </w:pPr>
            <w:r w:rsidRPr="00A7625D">
              <w:rPr>
                <w:rFonts w:ascii="Century Gothic" w:hAnsi="Century Gothic" w:cs="Arial"/>
                <w:sz w:val="14"/>
                <w:szCs w:val="14"/>
                <w:lang w:val="es-PE"/>
              </w:rPr>
              <w:t>5</w:t>
            </w:r>
          </w:p>
        </w:tc>
      </w:tr>
      <w:tr w:rsidR="00A7625D" w:rsidRPr="00A7625D" w14:paraId="77EFFFEF"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79A2CD65"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21</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75AEA435"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 aplicación coherente del principio de igualdad en la tributación contribuye a generar confianza y credibilidad por parte de los contribuyentes.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47DE83A8"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E6DAE5B"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0C6A93C"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05723E9"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1A097591" w14:textId="77777777" w:rsidR="00446B51" w:rsidRPr="00A7625D" w:rsidRDefault="00446B51" w:rsidP="00E57EC2">
            <w:pPr>
              <w:rPr>
                <w:rFonts w:ascii="Century Gothic" w:hAnsi="Century Gothic" w:cs="Arial"/>
                <w:sz w:val="14"/>
                <w:szCs w:val="14"/>
                <w:lang w:val="es-PE"/>
              </w:rPr>
            </w:pPr>
          </w:p>
        </w:tc>
      </w:tr>
      <w:tr w:rsidR="00A7625D" w:rsidRPr="00A7625D" w14:paraId="7606F72D"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4D3A5FDF"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22</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537CC527"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 percepción positiva de justicia fiscal es un factor que favorece el cumplimiento voluntario por parte de los contribuyentes.</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74A44C85"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5E1884F9"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DB22BA1"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740C442"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AB61316" w14:textId="77777777" w:rsidR="00446B51" w:rsidRPr="00A7625D" w:rsidRDefault="00446B51" w:rsidP="00E57EC2">
            <w:pPr>
              <w:rPr>
                <w:rFonts w:ascii="Century Gothic" w:hAnsi="Century Gothic" w:cs="Arial"/>
                <w:sz w:val="14"/>
                <w:szCs w:val="14"/>
                <w:lang w:val="es-PE"/>
              </w:rPr>
            </w:pPr>
          </w:p>
        </w:tc>
      </w:tr>
      <w:tr w:rsidR="00A7625D" w:rsidRPr="00A7625D" w14:paraId="59DC332A"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04455E6E"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23</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744456C8"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La aplicación coherente del principio de igualdad por parte de Sunat genera confianza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7CC23907"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212C3D8"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4F00A83"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67D023A5"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6F46BE6" w14:textId="77777777" w:rsidR="00446B51" w:rsidRPr="00A7625D" w:rsidRDefault="00446B51" w:rsidP="00E57EC2">
            <w:pPr>
              <w:rPr>
                <w:rFonts w:ascii="Century Gothic" w:hAnsi="Century Gothic" w:cs="Arial"/>
                <w:sz w:val="14"/>
                <w:szCs w:val="14"/>
                <w:lang w:val="es-PE"/>
              </w:rPr>
            </w:pPr>
          </w:p>
        </w:tc>
      </w:tr>
      <w:tr w:rsidR="00A7625D" w:rsidRPr="00A7625D" w14:paraId="6551FFA5" w14:textId="77777777" w:rsidTr="00A1187B">
        <w:trPr>
          <w:gridBefore w:val="1"/>
          <w:wBefore w:w="6" w:type="dxa"/>
          <w:trHeight w:val="113"/>
        </w:trPr>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6FA3BF93" w14:textId="77777777" w:rsidR="00446B51" w:rsidRPr="00A7625D" w:rsidRDefault="00446B51" w:rsidP="00E57EC2">
            <w:pPr>
              <w:ind w:left="102"/>
              <w:jc w:val="center"/>
              <w:rPr>
                <w:rFonts w:ascii="Century Gothic" w:hAnsi="Century Gothic" w:cs="Arial"/>
                <w:sz w:val="14"/>
                <w:szCs w:val="14"/>
              </w:rPr>
            </w:pPr>
            <w:r w:rsidRPr="00A7625D">
              <w:rPr>
                <w:rFonts w:ascii="Century Gothic" w:hAnsi="Century Gothic" w:cs="Arial"/>
                <w:sz w:val="14"/>
                <w:szCs w:val="14"/>
              </w:rPr>
              <w:t>24</w:t>
            </w:r>
          </w:p>
        </w:tc>
        <w:tc>
          <w:tcPr>
            <w:tcW w:w="5989" w:type="dxa"/>
            <w:tcBorders>
              <w:top w:val="single" w:sz="5" w:space="0" w:color="000000"/>
              <w:left w:val="single" w:sz="5" w:space="0" w:color="000000"/>
              <w:bottom w:val="single" w:sz="5" w:space="0" w:color="000000"/>
              <w:right w:val="single" w:sz="5" w:space="0" w:color="000000"/>
            </w:tcBorders>
            <w:shd w:val="clear" w:color="auto" w:fill="CBD3DF"/>
          </w:tcPr>
          <w:p w14:paraId="77F96B20" w14:textId="77777777" w:rsidR="00446B51" w:rsidRPr="00A7625D" w:rsidRDefault="00446B51" w:rsidP="00E57EC2">
            <w:pPr>
              <w:ind w:left="49" w:right="101"/>
              <w:jc w:val="both"/>
              <w:rPr>
                <w:rFonts w:ascii="Century Gothic" w:hAnsi="Century Gothic" w:cs="Arial"/>
                <w:sz w:val="14"/>
                <w:szCs w:val="14"/>
              </w:rPr>
            </w:pPr>
            <w:r w:rsidRPr="00A7625D">
              <w:rPr>
                <w:rFonts w:ascii="Century Gothic" w:hAnsi="Century Gothic" w:cs="Arial"/>
                <w:sz w:val="14"/>
                <w:szCs w:val="14"/>
              </w:rPr>
              <w:t>El cumplimiento voluntario de obligaciones tributarias de los contribuyentes permite la equidad en el sistema tributario.</w:t>
            </w:r>
          </w:p>
        </w:tc>
        <w:tc>
          <w:tcPr>
            <w:tcW w:w="406" w:type="dxa"/>
            <w:gridSpan w:val="2"/>
            <w:tcBorders>
              <w:top w:val="single" w:sz="5" w:space="0" w:color="000000"/>
              <w:left w:val="single" w:sz="5" w:space="0" w:color="000000"/>
              <w:bottom w:val="single" w:sz="5" w:space="0" w:color="000000"/>
              <w:right w:val="single" w:sz="5" w:space="0" w:color="000000"/>
            </w:tcBorders>
            <w:shd w:val="clear" w:color="auto" w:fill="CBD3DF"/>
          </w:tcPr>
          <w:p w14:paraId="368FAD3A"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40F554A0" w14:textId="77777777" w:rsidR="00446B51" w:rsidRPr="00A7625D" w:rsidRDefault="00446B51" w:rsidP="00E57EC2">
            <w:pPr>
              <w:rPr>
                <w:rFonts w:ascii="Century Gothic" w:hAnsi="Century Gothic" w:cs="Arial"/>
                <w:sz w:val="14"/>
                <w:szCs w:val="14"/>
                <w:lang w:val="es-PE"/>
              </w:rPr>
            </w:pPr>
          </w:p>
        </w:tc>
        <w:tc>
          <w:tcPr>
            <w:tcW w:w="384" w:type="dxa"/>
            <w:gridSpan w:val="2"/>
            <w:tcBorders>
              <w:top w:val="single" w:sz="5" w:space="0" w:color="000000"/>
              <w:left w:val="single" w:sz="5" w:space="0" w:color="000000"/>
              <w:bottom w:val="single" w:sz="5" w:space="0" w:color="000000"/>
              <w:right w:val="single" w:sz="5" w:space="0" w:color="000000"/>
            </w:tcBorders>
            <w:shd w:val="clear" w:color="auto" w:fill="CBD3DF"/>
          </w:tcPr>
          <w:p w14:paraId="1EBC4DB4"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38FDA21F" w14:textId="77777777" w:rsidR="00446B51" w:rsidRPr="00A7625D" w:rsidRDefault="00446B51" w:rsidP="00E57EC2">
            <w:pPr>
              <w:rPr>
                <w:rFonts w:ascii="Century Gothic" w:hAnsi="Century Gothic" w:cs="Arial"/>
                <w:sz w:val="14"/>
                <w:szCs w:val="14"/>
                <w:lang w:val="es-PE"/>
              </w:rPr>
            </w:pPr>
          </w:p>
        </w:tc>
        <w:tc>
          <w:tcPr>
            <w:tcW w:w="383" w:type="dxa"/>
            <w:gridSpan w:val="2"/>
            <w:tcBorders>
              <w:top w:val="single" w:sz="5" w:space="0" w:color="000000"/>
              <w:left w:val="single" w:sz="5" w:space="0" w:color="000000"/>
              <w:bottom w:val="single" w:sz="5" w:space="0" w:color="000000"/>
              <w:right w:val="single" w:sz="5" w:space="0" w:color="000000"/>
            </w:tcBorders>
            <w:shd w:val="clear" w:color="auto" w:fill="CBD3DF"/>
          </w:tcPr>
          <w:p w14:paraId="75414DC9" w14:textId="77777777" w:rsidR="00446B51" w:rsidRPr="00A7625D" w:rsidRDefault="00446B51" w:rsidP="00E57EC2">
            <w:pPr>
              <w:rPr>
                <w:rFonts w:ascii="Century Gothic" w:hAnsi="Century Gothic" w:cs="Arial"/>
                <w:sz w:val="14"/>
                <w:szCs w:val="14"/>
                <w:lang w:val="es-PE"/>
              </w:rPr>
            </w:pPr>
          </w:p>
        </w:tc>
      </w:tr>
    </w:tbl>
    <w:bookmarkEnd w:id="1"/>
    <w:bookmarkEnd w:id="3"/>
    <w:p w14:paraId="7791AFA8" w14:textId="5B5C5881" w:rsidR="00446B51" w:rsidRPr="00A7625D" w:rsidRDefault="00C5452E" w:rsidP="00FD2387">
      <w:pPr>
        <w:tabs>
          <w:tab w:val="left" w:pos="0"/>
        </w:tabs>
        <w:ind w:left="284" w:hanging="284"/>
        <w:contextualSpacing/>
        <w:jc w:val="both"/>
        <w:rPr>
          <w:rFonts w:ascii="Century Gothic" w:hAnsi="Century Gothic" w:cs="Arial"/>
          <w:sz w:val="14"/>
          <w:szCs w:val="14"/>
          <w:lang w:val="es-PE"/>
        </w:rPr>
      </w:pPr>
      <w:r w:rsidRPr="00A7625D">
        <w:rPr>
          <w:rFonts w:ascii="Century Gothic" w:hAnsi="Century Gothic" w:cs="Arial"/>
          <w:i/>
          <w:iCs/>
          <w:sz w:val="14"/>
          <w:szCs w:val="14"/>
          <w:lang w:val="es-PE"/>
        </w:rPr>
        <w:t>Nota.</w:t>
      </w:r>
      <w:r w:rsidRPr="00A7625D">
        <w:rPr>
          <w:rFonts w:ascii="Century Gothic" w:hAnsi="Century Gothic" w:cs="Arial"/>
          <w:sz w:val="14"/>
          <w:szCs w:val="14"/>
          <w:lang w:val="es-PE"/>
        </w:rPr>
        <w:t xml:space="preserve"> Elaboración propia</w:t>
      </w:r>
    </w:p>
    <w:sectPr w:rsidR="00446B51" w:rsidRPr="00A7625D" w:rsidSect="00E43DCC">
      <w:pgSz w:w="11906" w:h="16838"/>
      <w:pgMar w:top="1418" w:right="1700" w:bottom="1135"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1333" w14:textId="77777777" w:rsidR="007F4E78" w:rsidRDefault="007F4E78">
      <w:r>
        <w:separator/>
      </w:r>
    </w:p>
  </w:endnote>
  <w:endnote w:type="continuationSeparator" w:id="0">
    <w:p w14:paraId="37B0D914" w14:textId="77777777" w:rsidR="007F4E78" w:rsidRDefault="007F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D598" w14:textId="77777777" w:rsidR="00366E32" w:rsidRDefault="00366E3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5541F5C5" w14:textId="77777777" w:rsidR="00366E32" w:rsidRDefault="00366E3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310A" w14:textId="0D62B737" w:rsidR="00E43DCC" w:rsidRDefault="00EA3757" w:rsidP="00E43DCC">
    <w:pPr>
      <w:pStyle w:val="Piedepgina"/>
      <w:jc w:val="right"/>
    </w:pPr>
    <w:r w:rsidRPr="005D4CF9">
      <w:rPr>
        <w:noProof/>
        <w:lang w:eastAsia="es-MX"/>
      </w:rPr>
      <mc:AlternateContent>
        <mc:Choice Requires="wps">
          <w:drawing>
            <wp:anchor distT="0" distB="0" distL="114300" distR="114300" simplePos="0" relativeHeight="251662336" behindDoc="0" locked="0" layoutInCell="1" allowOverlap="1" wp14:anchorId="1F1B7E11" wp14:editId="7CC017C8">
              <wp:simplePos x="0" y="0"/>
              <wp:positionH relativeFrom="margin">
                <wp:posOffset>0</wp:posOffset>
              </wp:positionH>
              <wp:positionV relativeFrom="paragraph">
                <wp:posOffset>0</wp:posOffset>
              </wp:positionV>
              <wp:extent cx="2973705" cy="276225"/>
              <wp:effectExtent l="0" t="0" r="17145" b="28575"/>
              <wp:wrapNone/>
              <wp:docPr id="568265300" name="Rectángulo 5"/>
              <wp:cNvGraphicFramePr/>
              <a:graphic xmlns:a="http://schemas.openxmlformats.org/drawingml/2006/main">
                <a:graphicData uri="http://schemas.microsoft.com/office/word/2010/wordprocessingShape">
                  <wps:wsp>
                    <wps:cNvSpPr/>
                    <wps:spPr>
                      <a:xfrm>
                        <a:off x="0" y="0"/>
                        <a:ext cx="2973705" cy="2762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9ECCC7" w14:textId="77777777" w:rsidR="00EA3757" w:rsidRPr="00E067B2" w:rsidRDefault="00EA3757" w:rsidP="00EA3757">
                          <w:pPr>
                            <w:rPr>
                              <w:rFonts w:ascii="Century Gothic" w:hAnsi="Century Gothic"/>
                              <w:color w:val="393A6B"/>
                              <w:sz w:val="18"/>
                              <w:szCs w:val="12"/>
                              <w:lang w:val="pt-BR"/>
                            </w:rPr>
                          </w:pPr>
                          <w:r w:rsidRPr="00E067B2">
                            <w:rPr>
                              <w:rFonts w:ascii="Century Gothic" w:hAnsi="Century Gothic"/>
                              <w:color w:val="393A6B"/>
                              <w:sz w:val="18"/>
                              <w:szCs w:val="12"/>
                              <w:lang w:val="pt-BR"/>
                            </w:rPr>
                            <w:t xml:space="preserve">DOI: </w:t>
                          </w:r>
                          <w:hyperlink r:id="rId1" w:history="1">
                            <w:r>
                              <w:rPr>
                                <w:rFonts w:ascii="Century Gothic" w:hAnsi="Century Gothic"/>
                                <w:color w:val="393A6B"/>
                                <w:sz w:val="18"/>
                                <w:szCs w:val="12"/>
                                <w:lang w:val="pt-BR"/>
                              </w:rPr>
                              <w:t>http://dx.doi.org/10.17268/sciendo.2025.009</w:t>
                            </w:r>
                          </w:hyperlink>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F1B7E11" id="Rectángulo 5" o:spid="_x0000_s1026" style="position:absolute;left:0;text-align:left;margin-left:0;margin-top:0;width:234.1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" strokecolor="white">
              <v:stroke startarrowwidth="narrow" startarrowlength="short" endarrowwidth="narrow" endarrowlength="short"/>
              <v:textbox inset="2.53958mm,1.2694mm,2.53958mm,1.2694mm">
                <w:txbxContent>
                  <w:p w14:paraId="1F9ECCC7" w14:textId="77777777" w:rsidR="00EA3757" w:rsidRPr="00E067B2" w:rsidRDefault="00EA3757" w:rsidP="00EA3757">
                    <w:pPr>
                      <w:rPr>
                        <w:rFonts w:ascii="Century Gothic" w:hAnsi="Century Gothic"/>
                        <w:color w:val="393A6B"/>
                        <w:sz w:val="18"/>
                        <w:szCs w:val="12"/>
                        <w:lang w:val="pt-BR"/>
                      </w:rPr>
                    </w:pPr>
                    <w:r w:rsidRPr="00E067B2">
                      <w:rPr>
                        <w:rFonts w:ascii="Century Gothic" w:hAnsi="Century Gothic"/>
                        <w:color w:val="393A6B"/>
                        <w:sz w:val="18"/>
                        <w:szCs w:val="12"/>
                        <w:lang w:val="pt-BR"/>
                      </w:rPr>
                      <w:t xml:space="preserve">DOI: </w:t>
                    </w:r>
                    <w:hyperlink r:id="rId2" w:history="1">
                      <w:r>
                        <w:rPr>
                          <w:rFonts w:ascii="Century Gothic" w:hAnsi="Century Gothic"/>
                          <w:color w:val="393A6B"/>
                          <w:sz w:val="18"/>
                          <w:szCs w:val="12"/>
                          <w:lang w:val="pt-BR"/>
                        </w:rPr>
                        <w:t>http://dx.doi.org/10.17268/sciendo.2025.009</w:t>
                      </w:r>
                    </w:hyperlink>
                  </w:p>
                </w:txbxContent>
              </v:textbox>
              <w10:wrap anchorx="margin"/>
            </v:rect>
          </w:pict>
        </mc:Fallback>
      </mc:AlternateContent>
    </w:r>
    <w:r w:rsidR="00E43DCC">
      <w:rPr>
        <w:rFonts w:ascii="Century Gothic" w:eastAsia="Century Gothic" w:hAnsi="Century Gothic" w:cs="Century Gothic"/>
        <w:color w:val="000000"/>
        <w:sz w:val="18"/>
        <w:szCs w:val="18"/>
      </w:rPr>
      <w:fldChar w:fldCharType="begin"/>
    </w:r>
    <w:r w:rsidR="00E43DCC">
      <w:rPr>
        <w:rFonts w:ascii="Century Gothic" w:eastAsia="Century Gothic" w:hAnsi="Century Gothic" w:cs="Century Gothic"/>
        <w:color w:val="000000"/>
        <w:sz w:val="18"/>
        <w:szCs w:val="18"/>
      </w:rPr>
      <w:instrText>PAGE</w:instrText>
    </w:r>
    <w:r w:rsidR="00E43DCC">
      <w:rPr>
        <w:rFonts w:ascii="Century Gothic" w:eastAsia="Century Gothic" w:hAnsi="Century Gothic" w:cs="Century Gothic"/>
        <w:color w:val="000000"/>
        <w:sz w:val="18"/>
        <w:szCs w:val="18"/>
      </w:rPr>
      <w:fldChar w:fldCharType="separate"/>
    </w:r>
    <w:r w:rsidR="00E43DCC">
      <w:rPr>
        <w:rFonts w:ascii="Century Gothic" w:eastAsia="Century Gothic" w:hAnsi="Century Gothic" w:cs="Century Gothic"/>
        <w:color w:val="000000"/>
        <w:sz w:val="18"/>
        <w:szCs w:val="18"/>
      </w:rPr>
      <w:t>60</w:t>
    </w:r>
    <w:r w:rsidR="00E43DCC">
      <w:rPr>
        <w:rFonts w:ascii="Century Gothic" w:eastAsia="Century Gothic" w:hAnsi="Century Gothic" w:cs="Century Gothic"/>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5261" w14:textId="686FA5B9" w:rsidR="00366E32" w:rsidRDefault="00EA3757" w:rsidP="00E43DCC">
    <w:pPr>
      <w:pBdr>
        <w:top w:val="nil"/>
        <w:left w:val="nil"/>
        <w:bottom w:val="nil"/>
        <w:right w:val="nil"/>
        <w:between w:val="nil"/>
      </w:pBdr>
      <w:tabs>
        <w:tab w:val="center" w:pos="4252"/>
        <w:tab w:val="right" w:pos="8504"/>
        <w:tab w:val="left" w:pos="7178"/>
        <w:tab w:val="right" w:pos="9070"/>
      </w:tabs>
      <w:jc w:val="right"/>
      <w:rPr>
        <w:rFonts w:ascii="Century Gothic" w:eastAsia="Century Gothic" w:hAnsi="Century Gothic" w:cs="Century Gothic"/>
        <w:color w:val="2D2E55"/>
      </w:rPr>
    </w:pPr>
    <w:r w:rsidRPr="005D4CF9">
      <w:rPr>
        <w:noProof/>
        <w:lang w:eastAsia="es-MX"/>
      </w:rPr>
      <mc:AlternateContent>
        <mc:Choice Requires="wps">
          <w:drawing>
            <wp:anchor distT="0" distB="0" distL="114300" distR="114300" simplePos="0" relativeHeight="251660288" behindDoc="0" locked="0" layoutInCell="1" allowOverlap="1" wp14:anchorId="1E35998E" wp14:editId="09508CEB">
              <wp:simplePos x="0" y="0"/>
              <wp:positionH relativeFrom="margin">
                <wp:posOffset>0</wp:posOffset>
              </wp:positionH>
              <wp:positionV relativeFrom="paragraph">
                <wp:posOffset>-635</wp:posOffset>
              </wp:positionV>
              <wp:extent cx="2973705" cy="276225"/>
              <wp:effectExtent l="0" t="0" r="17145" b="28575"/>
              <wp:wrapNone/>
              <wp:docPr id="289726215" name="Rectángulo 5"/>
              <wp:cNvGraphicFramePr/>
              <a:graphic xmlns:a="http://schemas.openxmlformats.org/drawingml/2006/main">
                <a:graphicData uri="http://schemas.microsoft.com/office/word/2010/wordprocessingShape">
                  <wps:wsp>
                    <wps:cNvSpPr/>
                    <wps:spPr>
                      <a:xfrm>
                        <a:off x="0" y="0"/>
                        <a:ext cx="2973705" cy="2762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3F917C6" w14:textId="005F41BB" w:rsidR="00EA3757" w:rsidRPr="00E067B2" w:rsidRDefault="00EA3757" w:rsidP="00EA3757">
                          <w:pPr>
                            <w:rPr>
                              <w:rFonts w:ascii="Century Gothic" w:hAnsi="Century Gothic"/>
                              <w:color w:val="393A6B"/>
                              <w:sz w:val="18"/>
                              <w:szCs w:val="12"/>
                              <w:lang w:val="pt-BR"/>
                            </w:rPr>
                          </w:pPr>
                          <w:r w:rsidRPr="00E067B2">
                            <w:rPr>
                              <w:rFonts w:ascii="Century Gothic" w:hAnsi="Century Gothic"/>
                              <w:color w:val="393A6B"/>
                              <w:sz w:val="18"/>
                              <w:szCs w:val="12"/>
                              <w:lang w:val="pt-BR"/>
                            </w:rPr>
                            <w:t xml:space="preserve">DOI: </w:t>
                          </w:r>
                          <w:hyperlink r:id="rId1" w:history="1">
                            <w:r>
                              <w:rPr>
                                <w:rFonts w:ascii="Century Gothic" w:hAnsi="Century Gothic"/>
                                <w:color w:val="393A6B"/>
                                <w:sz w:val="18"/>
                                <w:szCs w:val="12"/>
                                <w:lang w:val="pt-BR"/>
                              </w:rPr>
                              <w:t>http://dx.doi.org/10.17268/sciendo.2025.009</w:t>
                            </w:r>
                          </w:hyperlink>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35998E" id="_x0000_s1028" style="position:absolute;left:0;text-align:left;margin-left:0;margin-top:-.05pt;width:234.1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" strokecolor="white">
              <v:stroke startarrowwidth="narrow" startarrowlength="short" endarrowwidth="narrow" endarrowlength="short"/>
              <v:textbox inset="2.53958mm,1.2694mm,2.53958mm,1.2694mm">
                <w:txbxContent>
                  <w:p w14:paraId="73F917C6" w14:textId="005F41BB" w:rsidR="00EA3757" w:rsidRPr="00E067B2" w:rsidRDefault="00EA3757" w:rsidP="00EA3757">
                    <w:pPr>
                      <w:rPr>
                        <w:rFonts w:ascii="Century Gothic" w:hAnsi="Century Gothic"/>
                        <w:color w:val="393A6B"/>
                        <w:sz w:val="18"/>
                        <w:szCs w:val="12"/>
                        <w:lang w:val="pt-BR"/>
                      </w:rPr>
                    </w:pPr>
                    <w:r w:rsidRPr="00E067B2">
                      <w:rPr>
                        <w:rFonts w:ascii="Century Gothic" w:hAnsi="Century Gothic"/>
                        <w:color w:val="393A6B"/>
                        <w:sz w:val="18"/>
                        <w:szCs w:val="12"/>
                        <w:lang w:val="pt-BR"/>
                      </w:rPr>
                      <w:t xml:space="preserve">DOI: </w:t>
                    </w:r>
                    <w:hyperlink r:id="rId2" w:history="1">
                      <w:r>
                        <w:rPr>
                          <w:rFonts w:ascii="Century Gothic" w:hAnsi="Century Gothic"/>
                          <w:color w:val="393A6B"/>
                          <w:sz w:val="18"/>
                          <w:szCs w:val="12"/>
                          <w:lang w:val="pt-BR"/>
                        </w:rPr>
                        <w:t>http://dx.doi.org/10.17268/sciendo.2025.009</w:t>
                      </w:r>
                    </w:hyperlink>
                  </w:p>
                </w:txbxContent>
              </v:textbox>
              <w10:wrap anchorx="margin"/>
            </v:rect>
          </w:pict>
        </mc:Fallback>
      </mc:AlternateContent>
    </w:r>
    <w:r w:rsidR="00E43DCC">
      <w:rPr>
        <w:rFonts w:ascii="Century Gothic" w:eastAsia="Century Gothic" w:hAnsi="Century Gothic" w:cs="Century Gothic"/>
        <w:color w:val="2D2E55"/>
        <w:sz w:val="20"/>
        <w:szCs w:val="20"/>
      </w:rPr>
      <w:t>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9CC06" w14:textId="77777777" w:rsidR="007F4E78" w:rsidRDefault="007F4E78">
      <w:r>
        <w:separator/>
      </w:r>
    </w:p>
  </w:footnote>
  <w:footnote w:type="continuationSeparator" w:id="0">
    <w:p w14:paraId="3DB48CE5" w14:textId="77777777" w:rsidR="007F4E78" w:rsidRDefault="007F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05CF" w14:textId="1E951177" w:rsidR="00366E32" w:rsidRPr="00487525" w:rsidRDefault="00C81752">
    <w:pPr>
      <w:pBdr>
        <w:top w:val="nil"/>
        <w:left w:val="nil"/>
        <w:bottom w:val="nil"/>
        <w:right w:val="nil"/>
        <w:between w:val="nil"/>
      </w:pBdr>
      <w:tabs>
        <w:tab w:val="center" w:pos="4252"/>
        <w:tab w:val="right" w:pos="8504"/>
      </w:tabs>
      <w:rPr>
        <w:rFonts w:ascii="Century Gothic" w:eastAsia="Century Gothic" w:hAnsi="Century Gothic" w:cs="Century Gothic"/>
        <w:color w:val="393A6B"/>
        <w:sz w:val="18"/>
        <w:szCs w:val="18"/>
        <w:lang w:val="pt-BR"/>
      </w:rPr>
    </w:pPr>
    <w:r w:rsidRPr="00487525">
      <w:rPr>
        <w:rFonts w:ascii="Century Gothic" w:eastAsia="Century Gothic" w:hAnsi="Century Gothic" w:cs="Century Gothic"/>
        <w:color w:val="393A6B"/>
        <w:sz w:val="18"/>
        <w:szCs w:val="18"/>
        <w:lang w:val="pt-BR"/>
      </w:rPr>
      <w:t>M. Rivera</w:t>
    </w:r>
    <w:r w:rsidR="009911BF" w:rsidRPr="00487525">
      <w:rPr>
        <w:rFonts w:ascii="Century Gothic" w:eastAsia="Century Gothic" w:hAnsi="Century Gothic" w:cs="Century Gothic"/>
        <w:color w:val="393A6B"/>
        <w:sz w:val="18"/>
        <w:szCs w:val="18"/>
        <w:lang w:val="pt-BR"/>
      </w:rPr>
      <w:tab/>
    </w:r>
    <w:r w:rsidR="009911BF" w:rsidRPr="00487525">
      <w:rPr>
        <w:rFonts w:ascii="Century Gothic" w:eastAsia="Century Gothic" w:hAnsi="Century Gothic" w:cs="Century Gothic"/>
        <w:color w:val="393A6B"/>
        <w:sz w:val="18"/>
        <w:szCs w:val="18"/>
        <w:lang w:val="pt-BR"/>
      </w:rPr>
      <w:tab/>
      <w:t xml:space="preserve">SCIÉNDO </w:t>
    </w:r>
    <w:r w:rsidR="000635DF">
      <w:rPr>
        <w:rFonts w:ascii="Century Gothic" w:eastAsia="Century Gothic" w:hAnsi="Century Gothic" w:cs="Century Gothic"/>
        <w:color w:val="393A6B"/>
        <w:sz w:val="18"/>
        <w:szCs w:val="18"/>
        <w:lang w:val="pt-BR"/>
      </w:rPr>
      <w:t>28</w:t>
    </w:r>
    <w:r w:rsidR="009911BF" w:rsidRPr="00487525">
      <w:rPr>
        <w:rFonts w:ascii="Century Gothic" w:eastAsia="Century Gothic" w:hAnsi="Century Gothic" w:cs="Century Gothic"/>
        <w:color w:val="393A6B"/>
        <w:sz w:val="18"/>
        <w:szCs w:val="18"/>
        <w:lang w:val="pt-BR"/>
      </w:rPr>
      <w:t>(</w:t>
    </w:r>
    <w:r w:rsidR="000635DF">
      <w:rPr>
        <w:rFonts w:ascii="Century Gothic" w:eastAsia="Century Gothic" w:hAnsi="Century Gothic" w:cs="Century Gothic"/>
        <w:color w:val="393A6B"/>
        <w:sz w:val="18"/>
        <w:szCs w:val="18"/>
        <w:lang w:val="pt-BR"/>
      </w:rPr>
      <w:t>1</w:t>
    </w:r>
    <w:r w:rsidR="009911BF" w:rsidRPr="00487525">
      <w:rPr>
        <w:rFonts w:ascii="Century Gothic" w:eastAsia="Century Gothic" w:hAnsi="Century Gothic" w:cs="Century Gothic"/>
        <w:color w:val="393A6B"/>
        <w:sz w:val="18"/>
        <w:szCs w:val="18"/>
        <w:lang w:val="pt-BR"/>
      </w:rPr>
      <w:t xml:space="preserve">): </w:t>
    </w:r>
    <w:r w:rsidR="00560E76">
      <w:rPr>
        <w:rFonts w:ascii="Century Gothic" w:eastAsia="Century Gothic" w:hAnsi="Century Gothic" w:cs="Century Gothic"/>
        <w:color w:val="393A6B"/>
        <w:sz w:val="18"/>
        <w:szCs w:val="18"/>
        <w:lang w:val="pt-BR"/>
      </w:rPr>
      <w:t>67</w:t>
    </w:r>
    <w:r w:rsidR="009911BF" w:rsidRPr="00487525">
      <w:rPr>
        <w:rFonts w:ascii="Century Gothic" w:eastAsia="Century Gothic" w:hAnsi="Century Gothic" w:cs="Century Gothic"/>
        <w:color w:val="393A6B"/>
        <w:sz w:val="18"/>
        <w:szCs w:val="18"/>
        <w:lang w:val="pt-BR"/>
      </w:rPr>
      <w:t>-</w:t>
    </w:r>
    <w:r w:rsidR="00560E76">
      <w:rPr>
        <w:rFonts w:ascii="Century Gothic" w:eastAsia="Century Gothic" w:hAnsi="Century Gothic" w:cs="Century Gothic"/>
        <w:color w:val="393A6B"/>
        <w:sz w:val="18"/>
        <w:szCs w:val="18"/>
        <w:lang w:val="pt-BR"/>
      </w:rPr>
      <w:t>73</w:t>
    </w:r>
    <w:r w:rsidR="009911BF" w:rsidRPr="00487525">
      <w:rPr>
        <w:rFonts w:ascii="Century Gothic" w:eastAsia="Century Gothic" w:hAnsi="Century Gothic" w:cs="Century Gothic"/>
        <w:color w:val="393A6B"/>
        <w:sz w:val="18"/>
        <w:szCs w:val="18"/>
        <w:lang w:val="pt-BR"/>
      </w:rPr>
      <w:t>, 202</w:t>
    </w:r>
    <w:r w:rsidR="000635DF">
      <w:rPr>
        <w:rFonts w:ascii="Century Gothic" w:eastAsia="Century Gothic" w:hAnsi="Century Gothic" w:cs="Century Gothic"/>
        <w:color w:val="393A6B"/>
        <w:sz w:val="18"/>
        <w:szCs w:val="18"/>
        <w:lang w:val="pt-B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D6E" w14:textId="6AA7A2F6" w:rsidR="00366E32" w:rsidRDefault="000635DF">
    <w:pPr>
      <w:pBdr>
        <w:top w:val="nil"/>
        <w:left w:val="nil"/>
        <w:bottom w:val="nil"/>
        <w:right w:val="nil"/>
        <w:between w:val="nil"/>
      </w:pBdr>
      <w:tabs>
        <w:tab w:val="center" w:pos="4252"/>
        <w:tab w:val="right" w:pos="8504"/>
      </w:tabs>
      <w:jc w:val="center"/>
      <w:rPr>
        <w:rFonts w:ascii="Aparajita" w:eastAsia="Aparajita" w:hAnsi="Aparajita" w:cs="Aparajita"/>
        <w:b/>
        <w:color w:val="393A6B"/>
        <w:sz w:val="76"/>
        <w:szCs w:val="76"/>
      </w:rPr>
    </w:pPr>
    <w:r>
      <w:rPr>
        <w:noProof/>
        <w:lang w:val="es-PE" w:eastAsia="es-PE"/>
      </w:rPr>
      <mc:AlternateContent>
        <mc:Choice Requires="wps">
          <w:drawing>
            <wp:anchor distT="0" distB="0" distL="114300" distR="114300" simplePos="0" relativeHeight="251658240" behindDoc="0" locked="0" layoutInCell="1" hidden="0" allowOverlap="1" wp14:anchorId="7C4D4611" wp14:editId="3C23AD28">
              <wp:simplePos x="0" y="0"/>
              <wp:positionH relativeFrom="page">
                <wp:align>center</wp:align>
              </wp:positionH>
              <wp:positionV relativeFrom="paragraph">
                <wp:posOffset>-323215</wp:posOffset>
              </wp:positionV>
              <wp:extent cx="1781175" cy="2476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781175" cy="2476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A866526" w14:textId="6DDC47A8" w:rsidR="00366E32" w:rsidRDefault="000635DF">
                          <w:pPr>
                            <w:jc w:val="center"/>
                            <w:textDirection w:val="btLr"/>
                          </w:pPr>
                          <w:r>
                            <w:rPr>
                              <w:rFonts w:ascii="Aparajita" w:eastAsia="Aparajita" w:hAnsi="Aparajita" w:cs="Aparajita"/>
                              <w:color w:val="393A6B"/>
                            </w:rPr>
                            <w:t>28</w:t>
                          </w:r>
                          <w:r w:rsidR="00366E32">
                            <w:rPr>
                              <w:rFonts w:ascii="Aparajita" w:eastAsia="Aparajita" w:hAnsi="Aparajita" w:cs="Aparajita"/>
                              <w:color w:val="393A6B"/>
                            </w:rPr>
                            <w:t>(</w:t>
                          </w:r>
                          <w:r>
                            <w:rPr>
                              <w:rFonts w:ascii="Aparajita" w:eastAsia="Aparajita" w:hAnsi="Aparajita" w:cs="Aparajita"/>
                              <w:color w:val="393A6B"/>
                            </w:rPr>
                            <w:t>1</w:t>
                          </w:r>
                          <w:r w:rsidR="00366E32">
                            <w:rPr>
                              <w:rFonts w:ascii="Aparajita" w:eastAsia="Aparajita" w:hAnsi="Aparajita" w:cs="Aparajita"/>
                              <w:color w:val="393A6B"/>
                            </w:rPr>
                            <w:t xml:space="preserve">): </w:t>
                          </w:r>
                          <w:r w:rsidR="00E43DCC">
                            <w:rPr>
                              <w:rFonts w:ascii="Aparajita" w:eastAsia="Aparajita" w:hAnsi="Aparajita" w:cs="Aparajita"/>
                              <w:color w:val="393A6B"/>
                            </w:rPr>
                            <w:t>67</w:t>
                          </w:r>
                          <w:r w:rsidR="00366E32">
                            <w:rPr>
                              <w:rFonts w:ascii="Aparajita" w:eastAsia="Aparajita" w:hAnsi="Aparajita" w:cs="Aparajita"/>
                              <w:color w:val="393A6B"/>
                            </w:rPr>
                            <w:t>-</w:t>
                          </w:r>
                          <w:r w:rsidR="00E43DCC">
                            <w:rPr>
                              <w:rFonts w:ascii="Aparajita" w:eastAsia="Aparajita" w:hAnsi="Aparajita" w:cs="Aparajita"/>
                              <w:color w:val="393A6B"/>
                            </w:rPr>
                            <w:t>73</w:t>
                          </w:r>
                          <w:r w:rsidR="00366E32">
                            <w:rPr>
                              <w:rFonts w:ascii="Aparajita" w:eastAsia="Aparajita" w:hAnsi="Aparajita" w:cs="Aparajita"/>
                              <w:color w:val="393A6B"/>
                            </w:rPr>
                            <w:t>, 202</w:t>
                          </w:r>
                          <w:r>
                            <w:rPr>
                              <w:rFonts w:ascii="Aparajita" w:eastAsia="Aparajita" w:hAnsi="Aparajita" w:cs="Aparajita"/>
                              <w:color w:val="393A6B"/>
                            </w:rPr>
                            <w:t>5</w:t>
                          </w:r>
                        </w:p>
                      </w:txbxContent>
                    </wps:txbx>
                    <wps:bodyPr spcFirstLastPara="1" wrap="square" lIns="91425" tIns="45700" rIns="91425" bIns="45700" anchor="t" anchorCtr="0">
                      <a:noAutofit/>
                    </wps:bodyPr>
                  </wps:wsp>
                </a:graphicData>
              </a:graphic>
            </wp:anchor>
          </w:drawing>
        </mc:Choice>
        <mc:Fallback>
          <w:pict>
            <v:rect w14:anchorId="7C4D4611" id="Rectángulo 14" o:spid="_x0000_s1027" style="position:absolute;left:0;text-align:left;margin-left:0;margin-top:-25.45pt;width:140.25pt;height:19.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" strokecolor="white">
              <v:stroke startarrowwidth="narrow" startarrowlength="short" endarrowwidth="narrow" endarrowlength="short"/>
              <v:textbox inset="2.53958mm,1.2694mm,2.53958mm,1.2694mm">
                <w:txbxContent>
                  <w:p w14:paraId="2A866526" w14:textId="6DDC47A8" w:rsidR="00366E32" w:rsidRDefault="000635DF">
                    <w:pPr>
                      <w:jc w:val="center"/>
                      <w:textDirection w:val="btLr"/>
                    </w:pPr>
                    <w:r>
                      <w:rPr>
                        <w:rFonts w:ascii="Aparajita" w:eastAsia="Aparajita" w:hAnsi="Aparajita" w:cs="Aparajita"/>
                        <w:color w:val="393A6B"/>
                      </w:rPr>
                      <w:t>28</w:t>
                    </w:r>
                    <w:r w:rsidR="00366E32">
                      <w:rPr>
                        <w:rFonts w:ascii="Aparajita" w:eastAsia="Aparajita" w:hAnsi="Aparajita" w:cs="Aparajita"/>
                        <w:color w:val="393A6B"/>
                      </w:rPr>
                      <w:t>(</w:t>
                    </w:r>
                    <w:r>
                      <w:rPr>
                        <w:rFonts w:ascii="Aparajita" w:eastAsia="Aparajita" w:hAnsi="Aparajita" w:cs="Aparajita"/>
                        <w:color w:val="393A6B"/>
                      </w:rPr>
                      <w:t>1</w:t>
                    </w:r>
                    <w:r w:rsidR="00366E32">
                      <w:rPr>
                        <w:rFonts w:ascii="Aparajita" w:eastAsia="Aparajita" w:hAnsi="Aparajita" w:cs="Aparajita"/>
                        <w:color w:val="393A6B"/>
                      </w:rPr>
                      <w:t xml:space="preserve">): </w:t>
                    </w:r>
                    <w:r w:rsidR="00E43DCC">
                      <w:rPr>
                        <w:rFonts w:ascii="Aparajita" w:eastAsia="Aparajita" w:hAnsi="Aparajita" w:cs="Aparajita"/>
                        <w:color w:val="393A6B"/>
                      </w:rPr>
                      <w:t>67</w:t>
                    </w:r>
                    <w:r w:rsidR="00366E32">
                      <w:rPr>
                        <w:rFonts w:ascii="Aparajita" w:eastAsia="Aparajita" w:hAnsi="Aparajita" w:cs="Aparajita"/>
                        <w:color w:val="393A6B"/>
                      </w:rPr>
                      <w:t>-</w:t>
                    </w:r>
                    <w:r w:rsidR="00E43DCC">
                      <w:rPr>
                        <w:rFonts w:ascii="Aparajita" w:eastAsia="Aparajita" w:hAnsi="Aparajita" w:cs="Aparajita"/>
                        <w:color w:val="393A6B"/>
                      </w:rPr>
                      <w:t>73</w:t>
                    </w:r>
                    <w:r w:rsidR="00366E32">
                      <w:rPr>
                        <w:rFonts w:ascii="Aparajita" w:eastAsia="Aparajita" w:hAnsi="Aparajita" w:cs="Aparajita"/>
                        <w:color w:val="393A6B"/>
                      </w:rPr>
                      <w:t>, 202</w:t>
                    </w:r>
                    <w:r>
                      <w:rPr>
                        <w:rFonts w:ascii="Aparajita" w:eastAsia="Aparajita" w:hAnsi="Aparajita" w:cs="Aparajita"/>
                        <w:color w:val="393A6B"/>
                      </w:rPr>
                      <w:t>5</w:t>
                    </w:r>
                  </w:p>
                </w:txbxContent>
              </v:textbox>
              <w10:wrap anchorx="page"/>
            </v:rect>
          </w:pict>
        </mc:Fallback>
      </mc:AlternateContent>
    </w:r>
    <w:r w:rsidR="00366E32">
      <w:rPr>
        <w:rFonts w:ascii="Aparajita" w:eastAsia="Aparajita" w:hAnsi="Aparajita" w:cs="Aparajita"/>
        <w:b/>
        <w:color w:val="393A6B"/>
        <w:sz w:val="76"/>
        <w:szCs w:val="76"/>
        <w:u w:val="single"/>
      </w:rPr>
      <w:t>SCIÉNDO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512B4"/>
    <w:multiLevelType w:val="multilevel"/>
    <w:tmpl w:val="7270B422"/>
    <w:lvl w:ilvl="0">
      <w:start w:val="1"/>
      <w:numFmt w:val="decimal"/>
      <w:pStyle w:val="07listanumera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C9374C"/>
    <w:multiLevelType w:val="multilevel"/>
    <w:tmpl w:val="45287E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6046288">
    <w:abstractNumId w:val="1"/>
  </w:num>
  <w:num w:numId="2" w16cid:durableId="3075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BD"/>
    <w:rsid w:val="00001F6D"/>
    <w:rsid w:val="000021BE"/>
    <w:rsid w:val="00003368"/>
    <w:rsid w:val="00006572"/>
    <w:rsid w:val="00010FC8"/>
    <w:rsid w:val="00011610"/>
    <w:rsid w:val="000126AC"/>
    <w:rsid w:val="00016D92"/>
    <w:rsid w:val="00022E6C"/>
    <w:rsid w:val="00030542"/>
    <w:rsid w:val="00034189"/>
    <w:rsid w:val="00043095"/>
    <w:rsid w:val="000455C1"/>
    <w:rsid w:val="00047519"/>
    <w:rsid w:val="00047BD9"/>
    <w:rsid w:val="00052B64"/>
    <w:rsid w:val="0005511C"/>
    <w:rsid w:val="0005571E"/>
    <w:rsid w:val="00057B6E"/>
    <w:rsid w:val="000624F1"/>
    <w:rsid w:val="000635DF"/>
    <w:rsid w:val="0007152A"/>
    <w:rsid w:val="00072BCE"/>
    <w:rsid w:val="000733DD"/>
    <w:rsid w:val="0007357C"/>
    <w:rsid w:val="0008017F"/>
    <w:rsid w:val="00084639"/>
    <w:rsid w:val="000868C6"/>
    <w:rsid w:val="00094DCA"/>
    <w:rsid w:val="000A0327"/>
    <w:rsid w:val="000A4238"/>
    <w:rsid w:val="000A49EF"/>
    <w:rsid w:val="000B4F12"/>
    <w:rsid w:val="000B795C"/>
    <w:rsid w:val="000C1E67"/>
    <w:rsid w:val="000D0AF0"/>
    <w:rsid w:val="000E35F9"/>
    <w:rsid w:val="000E6966"/>
    <w:rsid w:val="000E6BC3"/>
    <w:rsid w:val="000F2F88"/>
    <w:rsid w:val="00103E4E"/>
    <w:rsid w:val="00120E52"/>
    <w:rsid w:val="001227A6"/>
    <w:rsid w:val="00123B2C"/>
    <w:rsid w:val="00124517"/>
    <w:rsid w:val="00124737"/>
    <w:rsid w:val="00133AFA"/>
    <w:rsid w:val="001358A4"/>
    <w:rsid w:val="001362AD"/>
    <w:rsid w:val="001450BE"/>
    <w:rsid w:val="001521D3"/>
    <w:rsid w:val="001602B9"/>
    <w:rsid w:val="00166964"/>
    <w:rsid w:val="00171256"/>
    <w:rsid w:val="00172B15"/>
    <w:rsid w:val="00175DC7"/>
    <w:rsid w:val="001818DA"/>
    <w:rsid w:val="00185DCE"/>
    <w:rsid w:val="00191EB9"/>
    <w:rsid w:val="0019503D"/>
    <w:rsid w:val="00197A23"/>
    <w:rsid w:val="001B064F"/>
    <w:rsid w:val="001B377B"/>
    <w:rsid w:val="001B69F2"/>
    <w:rsid w:val="001B728B"/>
    <w:rsid w:val="001C0229"/>
    <w:rsid w:val="001C326D"/>
    <w:rsid w:val="001D06F5"/>
    <w:rsid w:val="001D6610"/>
    <w:rsid w:val="001E19EB"/>
    <w:rsid w:val="001E2A24"/>
    <w:rsid w:val="001E3D19"/>
    <w:rsid w:val="001E5CA4"/>
    <w:rsid w:val="001F07D1"/>
    <w:rsid w:val="001F6BDD"/>
    <w:rsid w:val="001F7849"/>
    <w:rsid w:val="0020044F"/>
    <w:rsid w:val="00206D73"/>
    <w:rsid w:val="00207B4C"/>
    <w:rsid w:val="00225858"/>
    <w:rsid w:val="0023186B"/>
    <w:rsid w:val="002362FC"/>
    <w:rsid w:val="00244EF7"/>
    <w:rsid w:val="002549F6"/>
    <w:rsid w:val="00254A69"/>
    <w:rsid w:val="00256EB7"/>
    <w:rsid w:val="00263886"/>
    <w:rsid w:val="002667FF"/>
    <w:rsid w:val="00272CC8"/>
    <w:rsid w:val="00275425"/>
    <w:rsid w:val="00275A42"/>
    <w:rsid w:val="00275AFF"/>
    <w:rsid w:val="00286BE3"/>
    <w:rsid w:val="00293A66"/>
    <w:rsid w:val="002A0919"/>
    <w:rsid w:val="002A19CB"/>
    <w:rsid w:val="002A6A41"/>
    <w:rsid w:val="002B1C02"/>
    <w:rsid w:val="002B4419"/>
    <w:rsid w:val="002C6AD3"/>
    <w:rsid w:val="002C6BBF"/>
    <w:rsid w:val="002D3EB7"/>
    <w:rsid w:val="002D5734"/>
    <w:rsid w:val="002D688E"/>
    <w:rsid w:val="002F30AA"/>
    <w:rsid w:val="00300B94"/>
    <w:rsid w:val="003200ED"/>
    <w:rsid w:val="003231A2"/>
    <w:rsid w:val="00326501"/>
    <w:rsid w:val="0033494A"/>
    <w:rsid w:val="00334F03"/>
    <w:rsid w:val="00335620"/>
    <w:rsid w:val="003509A9"/>
    <w:rsid w:val="0035136A"/>
    <w:rsid w:val="0035192E"/>
    <w:rsid w:val="00354EEA"/>
    <w:rsid w:val="00361674"/>
    <w:rsid w:val="00366E32"/>
    <w:rsid w:val="0037299F"/>
    <w:rsid w:val="00377086"/>
    <w:rsid w:val="003828F2"/>
    <w:rsid w:val="00384844"/>
    <w:rsid w:val="0038666A"/>
    <w:rsid w:val="0039303F"/>
    <w:rsid w:val="003B1390"/>
    <w:rsid w:val="003B27F9"/>
    <w:rsid w:val="003B5F5B"/>
    <w:rsid w:val="003C4DC5"/>
    <w:rsid w:val="003C66E7"/>
    <w:rsid w:val="003D0788"/>
    <w:rsid w:val="003D1EEB"/>
    <w:rsid w:val="003D2572"/>
    <w:rsid w:val="003D3FBF"/>
    <w:rsid w:val="003D5B3B"/>
    <w:rsid w:val="003E050D"/>
    <w:rsid w:val="003E1887"/>
    <w:rsid w:val="003F37DC"/>
    <w:rsid w:val="0040321D"/>
    <w:rsid w:val="0040452C"/>
    <w:rsid w:val="00406F5D"/>
    <w:rsid w:val="00407C7B"/>
    <w:rsid w:val="00407FF5"/>
    <w:rsid w:val="004146B4"/>
    <w:rsid w:val="0043065E"/>
    <w:rsid w:val="00430DE1"/>
    <w:rsid w:val="00446B51"/>
    <w:rsid w:val="00455904"/>
    <w:rsid w:val="00455A6D"/>
    <w:rsid w:val="00455C1C"/>
    <w:rsid w:val="00460D0E"/>
    <w:rsid w:val="00462444"/>
    <w:rsid w:val="004639BB"/>
    <w:rsid w:val="00464B80"/>
    <w:rsid w:val="00473BC5"/>
    <w:rsid w:val="00474C36"/>
    <w:rsid w:val="00481682"/>
    <w:rsid w:val="00483320"/>
    <w:rsid w:val="00487525"/>
    <w:rsid w:val="00490219"/>
    <w:rsid w:val="004948F7"/>
    <w:rsid w:val="00494A9B"/>
    <w:rsid w:val="00496F5E"/>
    <w:rsid w:val="004A1B94"/>
    <w:rsid w:val="004A2066"/>
    <w:rsid w:val="004A331E"/>
    <w:rsid w:val="004B06BA"/>
    <w:rsid w:val="004D1F73"/>
    <w:rsid w:val="004D6AEB"/>
    <w:rsid w:val="004E6E82"/>
    <w:rsid w:val="004F1DC0"/>
    <w:rsid w:val="004F2FE5"/>
    <w:rsid w:val="004F41D0"/>
    <w:rsid w:val="004F591E"/>
    <w:rsid w:val="004F7A79"/>
    <w:rsid w:val="00500D80"/>
    <w:rsid w:val="00503300"/>
    <w:rsid w:val="00520073"/>
    <w:rsid w:val="00534504"/>
    <w:rsid w:val="00534A2A"/>
    <w:rsid w:val="00537ABF"/>
    <w:rsid w:val="0054387B"/>
    <w:rsid w:val="00555DA7"/>
    <w:rsid w:val="00555EEF"/>
    <w:rsid w:val="00560E76"/>
    <w:rsid w:val="0056522A"/>
    <w:rsid w:val="00566095"/>
    <w:rsid w:val="00567A26"/>
    <w:rsid w:val="0057002A"/>
    <w:rsid w:val="0057791C"/>
    <w:rsid w:val="00582711"/>
    <w:rsid w:val="00586761"/>
    <w:rsid w:val="005904AF"/>
    <w:rsid w:val="00593388"/>
    <w:rsid w:val="005A2C42"/>
    <w:rsid w:val="005B0E30"/>
    <w:rsid w:val="005C1018"/>
    <w:rsid w:val="005C786E"/>
    <w:rsid w:val="005D39B5"/>
    <w:rsid w:val="005D6D7D"/>
    <w:rsid w:val="005E0922"/>
    <w:rsid w:val="005E5A3E"/>
    <w:rsid w:val="005E79A6"/>
    <w:rsid w:val="005F2C19"/>
    <w:rsid w:val="005F70BF"/>
    <w:rsid w:val="006022B9"/>
    <w:rsid w:val="00605CC2"/>
    <w:rsid w:val="00617245"/>
    <w:rsid w:val="0062024D"/>
    <w:rsid w:val="006212BE"/>
    <w:rsid w:val="00622A87"/>
    <w:rsid w:val="0062417B"/>
    <w:rsid w:val="0062675F"/>
    <w:rsid w:val="00632FEE"/>
    <w:rsid w:val="00634CA3"/>
    <w:rsid w:val="00636956"/>
    <w:rsid w:val="00650827"/>
    <w:rsid w:val="006610EB"/>
    <w:rsid w:val="00661688"/>
    <w:rsid w:val="00662A14"/>
    <w:rsid w:val="00666B82"/>
    <w:rsid w:val="00676ABF"/>
    <w:rsid w:val="00676F14"/>
    <w:rsid w:val="006802F4"/>
    <w:rsid w:val="00683DE6"/>
    <w:rsid w:val="00685903"/>
    <w:rsid w:val="00685FA4"/>
    <w:rsid w:val="00691CA8"/>
    <w:rsid w:val="006A61C8"/>
    <w:rsid w:val="006A699E"/>
    <w:rsid w:val="006B1B1B"/>
    <w:rsid w:val="006B3023"/>
    <w:rsid w:val="006B444A"/>
    <w:rsid w:val="006C3D4C"/>
    <w:rsid w:val="006D1657"/>
    <w:rsid w:val="006D443B"/>
    <w:rsid w:val="006D4953"/>
    <w:rsid w:val="006F0CEE"/>
    <w:rsid w:val="006F454C"/>
    <w:rsid w:val="006F473D"/>
    <w:rsid w:val="006F66DD"/>
    <w:rsid w:val="00703510"/>
    <w:rsid w:val="007114B3"/>
    <w:rsid w:val="00712869"/>
    <w:rsid w:val="00720C40"/>
    <w:rsid w:val="00726A3C"/>
    <w:rsid w:val="00763874"/>
    <w:rsid w:val="00773276"/>
    <w:rsid w:val="00786826"/>
    <w:rsid w:val="007938CF"/>
    <w:rsid w:val="00794663"/>
    <w:rsid w:val="007A44AA"/>
    <w:rsid w:val="007A65DF"/>
    <w:rsid w:val="007A70F6"/>
    <w:rsid w:val="007B022C"/>
    <w:rsid w:val="007B0B0D"/>
    <w:rsid w:val="007B1F1D"/>
    <w:rsid w:val="007B2CCE"/>
    <w:rsid w:val="007B518A"/>
    <w:rsid w:val="007B7D07"/>
    <w:rsid w:val="007D34A4"/>
    <w:rsid w:val="007D472A"/>
    <w:rsid w:val="007D7DCD"/>
    <w:rsid w:val="007E5F71"/>
    <w:rsid w:val="007E6B60"/>
    <w:rsid w:val="007E6BE2"/>
    <w:rsid w:val="007E78D3"/>
    <w:rsid w:val="007F4E78"/>
    <w:rsid w:val="007F5E4D"/>
    <w:rsid w:val="007F7BB7"/>
    <w:rsid w:val="00814355"/>
    <w:rsid w:val="00833B9A"/>
    <w:rsid w:val="008451AB"/>
    <w:rsid w:val="0085355A"/>
    <w:rsid w:val="00853CF4"/>
    <w:rsid w:val="00857C06"/>
    <w:rsid w:val="00862208"/>
    <w:rsid w:val="00863CF2"/>
    <w:rsid w:val="00866C3A"/>
    <w:rsid w:val="00872DC4"/>
    <w:rsid w:val="0087679B"/>
    <w:rsid w:val="00876CF8"/>
    <w:rsid w:val="008815CE"/>
    <w:rsid w:val="00883FA8"/>
    <w:rsid w:val="00885614"/>
    <w:rsid w:val="00886D3E"/>
    <w:rsid w:val="00887F90"/>
    <w:rsid w:val="00896445"/>
    <w:rsid w:val="008A1243"/>
    <w:rsid w:val="008A2DAD"/>
    <w:rsid w:val="008C4968"/>
    <w:rsid w:val="008C6AF8"/>
    <w:rsid w:val="008E7CCF"/>
    <w:rsid w:val="008F213E"/>
    <w:rsid w:val="008F4652"/>
    <w:rsid w:val="00901C83"/>
    <w:rsid w:val="00902C90"/>
    <w:rsid w:val="00904741"/>
    <w:rsid w:val="00904D3B"/>
    <w:rsid w:val="0092186E"/>
    <w:rsid w:val="00922249"/>
    <w:rsid w:val="00932596"/>
    <w:rsid w:val="00933814"/>
    <w:rsid w:val="00941EFD"/>
    <w:rsid w:val="009442F6"/>
    <w:rsid w:val="009447BA"/>
    <w:rsid w:val="009463E2"/>
    <w:rsid w:val="00951B41"/>
    <w:rsid w:val="0095204E"/>
    <w:rsid w:val="0095232F"/>
    <w:rsid w:val="00954E77"/>
    <w:rsid w:val="009550AB"/>
    <w:rsid w:val="00955712"/>
    <w:rsid w:val="00956178"/>
    <w:rsid w:val="0096045C"/>
    <w:rsid w:val="009656C1"/>
    <w:rsid w:val="00972FCF"/>
    <w:rsid w:val="00986F6B"/>
    <w:rsid w:val="009911BF"/>
    <w:rsid w:val="009A07D9"/>
    <w:rsid w:val="009A1E5D"/>
    <w:rsid w:val="009B3062"/>
    <w:rsid w:val="009B5EEC"/>
    <w:rsid w:val="009B6738"/>
    <w:rsid w:val="009C18B8"/>
    <w:rsid w:val="009C35B3"/>
    <w:rsid w:val="009D5BE9"/>
    <w:rsid w:val="009E1718"/>
    <w:rsid w:val="009E1B91"/>
    <w:rsid w:val="009E272F"/>
    <w:rsid w:val="009E6864"/>
    <w:rsid w:val="009F0DD7"/>
    <w:rsid w:val="009F79A1"/>
    <w:rsid w:val="00A030E1"/>
    <w:rsid w:val="00A03D10"/>
    <w:rsid w:val="00A03D4F"/>
    <w:rsid w:val="00A074C6"/>
    <w:rsid w:val="00A1187B"/>
    <w:rsid w:val="00A221F7"/>
    <w:rsid w:val="00A449DE"/>
    <w:rsid w:val="00A44D21"/>
    <w:rsid w:val="00A546F8"/>
    <w:rsid w:val="00A56394"/>
    <w:rsid w:val="00A62E4C"/>
    <w:rsid w:val="00A712B7"/>
    <w:rsid w:val="00A712C7"/>
    <w:rsid w:val="00A7625D"/>
    <w:rsid w:val="00A8271F"/>
    <w:rsid w:val="00A84A9E"/>
    <w:rsid w:val="00A92F64"/>
    <w:rsid w:val="00AA5CDA"/>
    <w:rsid w:val="00AA5FAC"/>
    <w:rsid w:val="00AB0877"/>
    <w:rsid w:val="00AC4482"/>
    <w:rsid w:val="00AC51DF"/>
    <w:rsid w:val="00AD1F33"/>
    <w:rsid w:val="00AD201E"/>
    <w:rsid w:val="00AE234B"/>
    <w:rsid w:val="00AE3C97"/>
    <w:rsid w:val="00AE4C66"/>
    <w:rsid w:val="00AF646F"/>
    <w:rsid w:val="00B130CA"/>
    <w:rsid w:val="00B21071"/>
    <w:rsid w:val="00B2690B"/>
    <w:rsid w:val="00B57020"/>
    <w:rsid w:val="00B74ABE"/>
    <w:rsid w:val="00B848CD"/>
    <w:rsid w:val="00B856B6"/>
    <w:rsid w:val="00B90641"/>
    <w:rsid w:val="00B93BE7"/>
    <w:rsid w:val="00BA71AF"/>
    <w:rsid w:val="00BC1D65"/>
    <w:rsid w:val="00BC5A7B"/>
    <w:rsid w:val="00BC7BCB"/>
    <w:rsid w:val="00BD022D"/>
    <w:rsid w:val="00BD198B"/>
    <w:rsid w:val="00BF2AE4"/>
    <w:rsid w:val="00C06231"/>
    <w:rsid w:val="00C231A8"/>
    <w:rsid w:val="00C23ED0"/>
    <w:rsid w:val="00C250E2"/>
    <w:rsid w:val="00C308AD"/>
    <w:rsid w:val="00C30BD6"/>
    <w:rsid w:val="00C34D38"/>
    <w:rsid w:val="00C42814"/>
    <w:rsid w:val="00C4465E"/>
    <w:rsid w:val="00C4539E"/>
    <w:rsid w:val="00C5452E"/>
    <w:rsid w:val="00C57A6C"/>
    <w:rsid w:val="00C7282D"/>
    <w:rsid w:val="00C8026C"/>
    <w:rsid w:val="00C81752"/>
    <w:rsid w:val="00C82B54"/>
    <w:rsid w:val="00C83728"/>
    <w:rsid w:val="00C90B2B"/>
    <w:rsid w:val="00C90E68"/>
    <w:rsid w:val="00C96551"/>
    <w:rsid w:val="00C97EC6"/>
    <w:rsid w:val="00CA16B0"/>
    <w:rsid w:val="00CA4674"/>
    <w:rsid w:val="00CC1B9F"/>
    <w:rsid w:val="00CC3C3D"/>
    <w:rsid w:val="00CC596B"/>
    <w:rsid w:val="00CC75F7"/>
    <w:rsid w:val="00CD534E"/>
    <w:rsid w:val="00CE1D40"/>
    <w:rsid w:val="00D01641"/>
    <w:rsid w:val="00D04AA1"/>
    <w:rsid w:val="00D10310"/>
    <w:rsid w:val="00D10614"/>
    <w:rsid w:val="00D10A05"/>
    <w:rsid w:val="00D14A42"/>
    <w:rsid w:val="00D24BF9"/>
    <w:rsid w:val="00D26E67"/>
    <w:rsid w:val="00D27E93"/>
    <w:rsid w:val="00D449A4"/>
    <w:rsid w:val="00D56317"/>
    <w:rsid w:val="00D63346"/>
    <w:rsid w:val="00D64A01"/>
    <w:rsid w:val="00D67E34"/>
    <w:rsid w:val="00D82738"/>
    <w:rsid w:val="00D83CF8"/>
    <w:rsid w:val="00D843BD"/>
    <w:rsid w:val="00D85B59"/>
    <w:rsid w:val="00D907DC"/>
    <w:rsid w:val="00DA1067"/>
    <w:rsid w:val="00DA1D21"/>
    <w:rsid w:val="00DA2DCC"/>
    <w:rsid w:val="00DA4A80"/>
    <w:rsid w:val="00DA5DF7"/>
    <w:rsid w:val="00DB2D38"/>
    <w:rsid w:val="00DB30FE"/>
    <w:rsid w:val="00DD1832"/>
    <w:rsid w:val="00DE67BF"/>
    <w:rsid w:val="00DF607F"/>
    <w:rsid w:val="00E014E5"/>
    <w:rsid w:val="00E04223"/>
    <w:rsid w:val="00E26502"/>
    <w:rsid w:val="00E34C0F"/>
    <w:rsid w:val="00E35908"/>
    <w:rsid w:val="00E359A7"/>
    <w:rsid w:val="00E43DCC"/>
    <w:rsid w:val="00E47A62"/>
    <w:rsid w:val="00E52B83"/>
    <w:rsid w:val="00E5537D"/>
    <w:rsid w:val="00E55BD5"/>
    <w:rsid w:val="00E56230"/>
    <w:rsid w:val="00E629AC"/>
    <w:rsid w:val="00E7039F"/>
    <w:rsid w:val="00E70797"/>
    <w:rsid w:val="00E756B0"/>
    <w:rsid w:val="00E903FB"/>
    <w:rsid w:val="00E90DB5"/>
    <w:rsid w:val="00E973C2"/>
    <w:rsid w:val="00EA3757"/>
    <w:rsid w:val="00EA6A24"/>
    <w:rsid w:val="00EC0853"/>
    <w:rsid w:val="00EC1C08"/>
    <w:rsid w:val="00EC1DC4"/>
    <w:rsid w:val="00EC662D"/>
    <w:rsid w:val="00EE2212"/>
    <w:rsid w:val="00EE459B"/>
    <w:rsid w:val="00EE776B"/>
    <w:rsid w:val="00EF48AF"/>
    <w:rsid w:val="00EF72BA"/>
    <w:rsid w:val="00F02C89"/>
    <w:rsid w:val="00F05682"/>
    <w:rsid w:val="00F254AC"/>
    <w:rsid w:val="00F26B90"/>
    <w:rsid w:val="00F40849"/>
    <w:rsid w:val="00F422DF"/>
    <w:rsid w:val="00F440E4"/>
    <w:rsid w:val="00F4453D"/>
    <w:rsid w:val="00F46CEE"/>
    <w:rsid w:val="00F60D1F"/>
    <w:rsid w:val="00F71901"/>
    <w:rsid w:val="00F73ED0"/>
    <w:rsid w:val="00F75408"/>
    <w:rsid w:val="00F800C9"/>
    <w:rsid w:val="00F80B0A"/>
    <w:rsid w:val="00F84879"/>
    <w:rsid w:val="00F9061F"/>
    <w:rsid w:val="00F93293"/>
    <w:rsid w:val="00F9625D"/>
    <w:rsid w:val="00FA7229"/>
    <w:rsid w:val="00FB05F3"/>
    <w:rsid w:val="00FB0C67"/>
    <w:rsid w:val="00FB4475"/>
    <w:rsid w:val="00FC186E"/>
    <w:rsid w:val="00FC4BE1"/>
    <w:rsid w:val="00FC7353"/>
    <w:rsid w:val="00FD2387"/>
    <w:rsid w:val="00FD3DB6"/>
    <w:rsid w:val="00FD7DE9"/>
    <w:rsid w:val="00FF19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78051"/>
  <w15:docId w15:val="{38433D59-272C-4868-9106-E7DF6E1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rFonts w:ascii="Arial" w:hAnsi="Arial" w:cs="Arial"/>
      <w:b/>
    </w:rPr>
  </w:style>
  <w:style w:type="table" w:customStyle="1" w:styleId="TableNormal1">
    <w:name w:val="Table Normal1"/>
    <w:tblPr>
      <w:tblCellMar>
        <w:top w:w="0" w:type="dxa"/>
        <w:left w:w="0" w:type="dxa"/>
        <w:bottom w:w="0" w:type="dxa"/>
        <w:right w:w="0" w:type="dxa"/>
      </w:tblCellMar>
    </w:tblPr>
  </w:style>
  <w:style w:type="character" w:styleId="Hipervnculo">
    <w:name w:val="Hyperlink"/>
    <w:uiPriority w:val="99"/>
    <w:rPr>
      <w:color w:val="0000FF"/>
      <w:u w:val="single"/>
    </w:rPr>
  </w:style>
  <w:style w:type="paragraph" w:styleId="NormalWeb">
    <w:name w:val="Normal (Web)"/>
    <w:basedOn w:val="Normal"/>
  </w:style>
  <w:style w:type="paragraph" w:styleId="Textodeglobo">
    <w:name w:val="Balloon Text"/>
    <w:basedOn w:val="Normal"/>
    <w:semiHidden/>
    <w:rsid w:val="008B08DC"/>
    <w:rPr>
      <w:rFonts w:ascii="Tahoma" w:hAnsi="Tahoma" w:cs="Tahoma"/>
      <w:sz w:val="16"/>
      <w:szCs w:val="16"/>
    </w:rPr>
  </w:style>
  <w:style w:type="paragraph" w:styleId="Mapadeldocumento">
    <w:name w:val="Document Map"/>
    <w:basedOn w:val="Normal"/>
    <w:semiHidden/>
    <w:rsid w:val="002F39C4"/>
    <w:pPr>
      <w:shd w:val="clear" w:color="auto" w:fill="000080"/>
    </w:pPr>
    <w:rPr>
      <w:rFonts w:ascii="Tahoma" w:hAnsi="Tahoma" w:cs="Tahoma"/>
      <w:sz w:val="20"/>
      <w:szCs w:val="20"/>
    </w:rPr>
  </w:style>
  <w:style w:type="paragraph" w:styleId="Textonotapie">
    <w:name w:val="footnote text"/>
    <w:basedOn w:val="Normal"/>
    <w:semiHidden/>
    <w:rsid w:val="00887045"/>
    <w:rPr>
      <w:sz w:val="20"/>
      <w:szCs w:val="20"/>
    </w:rPr>
  </w:style>
  <w:style w:type="character" w:styleId="Refdenotaalpie">
    <w:name w:val="footnote reference"/>
    <w:semiHidden/>
    <w:rsid w:val="00887045"/>
    <w:rPr>
      <w:vertAlign w:val="superscript"/>
    </w:rPr>
  </w:style>
  <w:style w:type="table" w:styleId="Tablabsica1">
    <w:name w:val="Table Simple 1"/>
    <w:basedOn w:val="Tablanormal"/>
    <w:rsid w:val="00471D37"/>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cabezado">
    <w:name w:val="header"/>
    <w:basedOn w:val="Normal"/>
    <w:link w:val="EncabezadoCar"/>
    <w:uiPriority w:val="99"/>
    <w:rsid w:val="00CB7049"/>
    <w:pPr>
      <w:tabs>
        <w:tab w:val="center" w:pos="4252"/>
        <w:tab w:val="right" w:pos="8504"/>
      </w:tabs>
    </w:pPr>
  </w:style>
  <w:style w:type="character" w:customStyle="1" w:styleId="ti">
    <w:name w:val="ti"/>
    <w:basedOn w:val="Fuentedeprrafopredeter"/>
    <w:rsid w:val="000208BD"/>
  </w:style>
  <w:style w:type="paragraph" w:styleId="Piedepgina">
    <w:name w:val="footer"/>
    <w:basedOn w:val="Normal"/>
    <w:link w:val="PiedepginaCar"/>
    <w:uiPriority w:val="99"/>
    <w:rsid w:val="005646EF"/>
    <w:pPr>
      <w:tabs>
        <w:tab w:val="center" w:pos="4252"/>
        <w:tab w:val="right" w:pos="8504"/>
      </w:tabs>
    </w:pPr>
  </w:style>
  <w:style w:type="character" w:styleId="Nmerodepgina">
    <w:name w:val="page number"/>
    <w:basedOn w:val="Fuentedeprrafopredeter"/>
    <w:rsid w:val="005646EF"/>
  </w:style>
  <w:style w:type="character" w:styleId="nfasis">
    <w:name w:val="Emphasis"/>
    <w:qFormat/>
    <w:rsid w:val="00FC0B64"/>
    <w:rPr>
      <w:b/>
      <w:bCs/>
      <w:i w:val="0"/>
      <w:iCs w:val="0"/>
    </w:rPr>
  </w:style>
  <w:style w:type="character" w:customStyle="1" w:styleId="s1">
    <w:name w:val="s1"/>
    <w:rsid w:val="00130D0D"/>
    <w:rPr>
      <w:rFonts w:ascii="Arial" w:hAnsi="Arial" w:cs="Arial" w:hint="default"/>
      <w:color w:val="000000"/>
      <w:sz w:val="23"/>
      <w:szCs w:val="23"/>
      <w:shd w:val="clear" w:color="auto" w:fill="F3F9EF"/>
    </w:rPr>
  </w:style>
  <w:style w:type="character" w:customStyle="1" w:styleId="EncabezadoCar">
    <w:name w:val="Encabezado Car"/>
    <w:link w:val="Encabezado"/>
    <w:uiPriority w:val="99"/>
    <w:rsid w:val="00E3442B"/>
    <w:rPr>
      <w:sz w:val="24"/>
      <w:szCs w:val="24"/>
      <w:lang w:val="es-ES" w:eastAsia="es-ES"/>
    </w:rPr>
  </w:style>
  <w:style w:type="character" w:customStyle="1" w:styleId="PiedepginaCar">
    <w:name w:val="Pie de página Car"/>
    <w:link w:val="Piedepgina"/>
    <w:uiPriority w:val="99"/>
    <w:rsid w:val="0062485D"/>
    <w:rPr>
      <w:sz w:val="24"/>
      <w:szCs w:val="24"/>
      <w:lang w:val="es-ES" w:eastAsia="es-ES"/>
    </w:rPr>
  </w:style>
  <w:style w:type="paragraph" w:styleId="Prrafodelista">
    <w:name w:val="List Paragraph"/>
    <w:basedOn w:val="Normal"/>
    <w:uiPriority w:val="34"/>
    <w:qFormat/>
    <w:rsid w:val="00A23384"/>
    <w:pPr>
      <w:spacing w:after="200" w:line="276" w:lineRule="auto"/>
      <w:ind w:left="720"/>
      <w:contextualSpacing/>
    </w:pPr>
    <w:rPr>
      <w:rFonts w:ascii="Calibri" w:eastAsia="Calibri" w:hAnsi="Calibri"/>
      <w:sz w:val="22"/>
      <w:szCs w:val="22"/>
      <w:lang w:val="es-PE" w:eastAsia="en-US"/>
    </w:rPr>
  </w:style>
  <w:style w:type="paragraph" w:customStyle="1" w:styleId="Pa15">
    <w:name w:val="Pa15"/>
    <w:basedOn w:val="Normal"/>
    <w:next w:val="Normal"/>
    <w:uiPriority w:val="99"/>
    <w:rsid w:val="00A23384"/>
    <w:pPr>
      <w:autoSpaceDE w:val="0"/>
      <w:autoSpaceDN w:val="0"/>
      <w:adjustRightInd w:val="0"/>
      <w:spacing w:line="181" w:lineRule="atLeast"/>
    </w:pPr>
    <w:rPr>
      <w:rFonts w:ascii="Helvetica" w:eastAsia="Calibri" w:hAnsi="Helvetica" w:cs="Helvetica"/>
      <w:lang w:val="es-PE" w:eastAsia="en-US"/>
    </w:rPr>
  </w:style>
  <w:style w:type="table" w:customStyle="1" w:styleId="Estilo1">
    <w:name w:val="Estilo1"/>
    <w:basedOn w:val="Tablanormal"/>
    <w:rsid w:val="00E45D17"/>
    <w:tblPr/>
  </w:style>
  <w:style w:type="character" w:customStyle="1" w:styleId="Mencinsinresolver1">
    <w:name w:val="Mención sin resolver1"/>
    <w:uiPriority w:val="99"/>
    <w:semiHidden/>
    <w:unhideWhenUsed/>
    <w:rsid w:val="00910300"/>
    <w:rPr>
      <w:color w:val="808080"/>
      <w:shd w:val="clear" w:color="auto" w:fill="E6E6E6"/>
    </w:rPr>
  </w:style>
  <w:style w:type="character" w:styleId="Refdecomentario">
    <w:name w:val="annotation reference"/>
    <w:rsid w:val="0090730E"/>
    <w:rPr>
      <w:sz w:val="16"/>
      <w:szCs w:val="16"/>
    </w:rPr>
  </w:style>
  <w:style w:type="paragraph" w:styleId="Textocomentario">
    <w:name w:val="annotation text"/>
    <w:basedOn w:val="Normal"/>
    <w:link w:val="TextocomentarioCar"/>
    <w:uiPriority w:val="99"/>
    <w:rsid w:val="0090730E"/>
    <w:rPr>
      <w:sz w:val="20"/>
      <w:szCs w:val="20"/>
    </w:rPr>
  </w:style>
  <w:style w:type="character" w:customStyle="1" w:styleId="TextocomentarioCar">
    <w:name w:val="Texto comentario Car"/>
    <w:link w:val="Textocomentario"/>
    <w:uiPriority w:val="99"/>
    <w:rsid w:val="0090730E"/>
    <w:rPr>
      <w:lang w:val="es-ES" w:eastAsia="es-ES"/>
    </w:rPr>
  </w:style>
  <w:style w:type="paragraph" w:styleId="Asuntodelcomentario">
    <w:name w:val="annotation subject"/>
    <w:basedOn w:val="Textocomentario"/>
    <w:next w:val="Textocomentario"/>
    <w:link w:val="AsuntodelcomentarioCar"/>
    <w:rsid w:val="0090730E"/>
    <w:rPr>
      <w:b/>
      <w:bCs/>
    </w:rPr>
  </w:style>
  <w:style w:type="character" w:customStyle="1" w:styleId="AsuntodelcomentarioCar">
    <w:name w:val="Asunto del comentario Car"/>
    <w:link w:val="Asuntodelcomentario"/>
    <w:rsid w:val="0090730E"/>
    <w:rPr>
      <w:b/>
      <w:bCs/>
      <w:lang w:val="es-ES" w:eastAsia="es-ES"/>
    </w:rPr>
  </w:style>
  <w:style w:type="paragraph" w:customStyle="1" w:styleId="00textoconentrada">
    <w:name w:val="00. texto con entrada"/>
    <w:basedOn w:val="00textosinentrada"/>
    <w:next w:val="00textosinentrada"/>
    <w:autoRedefine/>
    <w:qFormat/>
    <w:rsid w:val="008235C1"/>
  </w:style>
  <w:style w:type="paragraph" w:customStyle="1" w:styleId="00textosinentrada">
    <w:name w:val="00. texto sin entrada"/>
    <w:next w:val="00textoconentrada"/>
    <w:autoRedefine/>
    <w:qFormat/>
    <w:rsid w:val="008235C1"/>
    <w:pPr>
      <w:widowControl w:val="0"/>
      <w:spacing w:after="60" w:line="240" w:lineRule="exact"/>
      <w:jc w:val="both"/>
    </w:pPr>
    <w:rPr>
      <w:rFonts w:eastAsia="MS Mincho"/>
      <w:lang w:val="pt-BR" w:eastAsia="ja-JP"/>
    </w:rPr>
  </w:style>
  <w:style w:type="paragraph" w:customStyle="1" w:styleId="07listanumerada">
    <w:name w:val="07. lista numerada"/>
    <w:basedOn w:val="Normal"/>
    <w:qFormat/>
    <w:rsid w:val="008235C1"/>
    <w:pPr>
      <w:widowControl w:val="0"/>
      <w:numPr>
        <w:numId w:val="2"/>
      </w:numPr>
      <w:spacing w:line="240" w:lineRule="exact"/>
      <w:ind w:left="907" w:hanging="340"/>
      <w:jc w:val="both"/>
    </w:pPr>
    <w:rPr>
      <w:rFonts w:eastAsia="MS Mincho"/>
      <w:sz w:val="20"/>
      <w:szCs w:val="20"/>
      <w:lang w:val="pt-BR" w:eastAsia="ja-JP"/>
    </w:rPr>
  </w:style>
  <w:style w:type="paragraph" w:customStyle="1" w:styleId="03tablaleyenda">
    <w:name w:val="03. tabla_leyenda"/>
    <w:basedOn w:val="Normal"/>
    <w:autoRedefine/>
    <w:qFormat/>
    <w:rsid w:val="007C46B8"/>
    <w:pPr>
      <w:ind w:right="-1"/>
      <w:jc w:val="both"/>
    </w:pPr>
    <w:rPr>
      <w:rFonts w:ascii="Century Gothic" w:eastAsia="MS Mincho" w:hAnsi="Century Gothic"/>
      <w:sz w:val="14"/>
      <w:szCs w:val="14"/>
      <w:lang w:val="es-ES_tradnl" w:eastAsia="ja-JP"/>
    </w:rPr>
  </w:style>
  <w:style w:type="paragraph" w:customStyle="1" w:styleId="00subttulo">
    <w:name w:val="00. subtítulo"/>
    <w:autoRedefine/>
    <w:qFormat/>
    <w:rsid w:val="008235C1"/>
    <w:pPr>
      <w:spacing w:before="300" w:after="60" w:line="240" w:lineRule="exact"/>
    </w:pPr>
    <w:rPr>
      <w:rFonts w:ascii="Arial" w:eastAsia="MS Mincho" w:hAnsi="Arial" w:cs="Arial"/>
      <w:b/>
      <w:sz w:val="18"/>
      <w:szCs w:val="18"/>
      <w:lang w:val="pt-BR" w:eastAsia="ja-JP"/>
    </w:rPr>
  </w:style>
  <w:style w:type="paragraph" w:customStyle="1" w:styleId="Default">
    <w:name w:val="Default"/>
    <w:rsid w:val="00251693"/>
    <w:pPr>
      <w:autoSpaceDE w:val="0"/>
      <w:autoSpaceDN w:val="0"/>
      <w:adjustRightInd w:val="0"/>
    </w:pPr>
    <w:rPr>
      <w:rFonts w:ascii="Century Gothic" w:hAnsi="Century Gothic" w:cs="Century Gothic"/>
      <w:color w:val="000000"/>
      <w:lang w:val="es-PE"/>
    </w:rPr>
  </w:style>
  <w:style w:type="table" w:styleId="Tablaconcuadrcula">
    <w:name w:val="Table Grid"/>
    <w:basedOn w:val="Tablanormal"/>
    <w:uiPriority w:val="59"/>
    <w:rsid w:val="000A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tcPr>
      <w:shd w:val="clear" w:color="auto" w:fill="auto"/>
    </w:tcPr>
  </w:style>
  <w:style w:type="table" w:customStyle="1" w:styleId="1">
    <w:name w:val="1"/>
    <w:basedOn w:val="TableNormal1"/>
    <w:tblPr>
      <w:tblStyleRowBandSize w:val="1"/>
      <w:tblStyleColBandSize w:val="1"/>
      <w:tblCellMar>
        <w:left w:w="115" w:type="dxa"/>
        <w:right w:w="115" w:type="dxa"/>
      </w:tblCellMar>
    </w:tblPr>
    <w:tcPr>
      <w:shd w:val="clear" w:color="auto" w:fill="auto"/>
    </w:tcPr>
  </w:style>
  <w:style w:type="paragraph" w:styleId="HTMLconformatoprevio">
    <w:name w:val="HTML Preformatted"/>
    <w:basedOn w:val="Normal"/>
    <w:link w:val="HTMLconformatoprevioCar"/>
    <w:uiPriority w:val="99"/>
    <w:semiHidden/>
    <w:unhideWhenUsed/>
    <w:rsid w:val="0088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887F90"/>
    <w:rPr>
      <w:rFonts w:ascii="Courier New" w:hAnsi="Courier New" w:cs="Courier New"/>
      <w:sz w:val="20"/>
      <w:szCs w:val="20"/>
      <w:lang w:val="es-PE"/>
    </w:rPr>
  </w:style>
  <w:style w:type="character" w:customStyle="1" w:styleId="y2iqfc">
    <w:name w:val="y2iqfc"/>
    <w:basedOn w:val="Fuentedeprrafopredeter"/>
    <w:rsid w:val="00887F90"/>
  </w:style>
  <w:style w:type="paragraph" w:styleId="Bibliografa">
    <w:name w:val="Bibliography"/>
    <w:basedOn w:val="Normal"/>
    <w:next w:val="Normal"/>
    <w:uiPriority w:val="37"/>
    <w:unhideWhenUsed/>
    <w:rsid w:val="00A074C6"/>
  </w:style>
  <w:style w:type="character" w:customStyle="1" w:styleId="Ttulo2Car">
    <w:name w:val="Título 2 Car"/>
    <w:basedOn w:val="Fuentedeprrafopredeter"/>
    <w:link w:val="Ttulo2"/>
    <w:uiPriority w:val="9"/>
    <w:rsid w:val="008F213E"/>
    <w:rPr>
      <w:b/>
      <w:sz w:val="36"/>
      <w:szCs w:val="36"/>
      <w:lang w:eastAsia="es-ES"/>
    </w:rPr>
  </w:style>
  <w:style w:type="character" w:styleId="Mencinsinresolver">
    <w:name w:val="Unresolved Mention"/>
    <w:basedOn w:val="Fuentedeprrafopredeter"/>
    <w:uiPriority w:val="99"/>
    <w:semiHidden/>
    <w:unhideWhenUsed/>
    <w:rsid w:val="00E04223"/>
    <w:rPr>
      <w:color w:val="605E5C"/>
      <w:shd w:val="clear" w:color="auto" w:fill="E1DFDD"/>
    </w:rPr>
  </w:style>
  <w:style w:type="character" w:styleId="Hipervnculovisitado">
    <w:name w:val="FollowedHyperlink"/>
    <w:basedOn w:val="Fuentedeprrafopredeter"/>
    <w:uiPriority w:val="99"/>
    <w:semiHidden/>
    <w:unhideWhenUsed/>
    <w:rsid w:val="00372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195">
      <w:bodyDiv w:val="1"/>
      <w:marLeft w:val="0"/>
      <w:marRight w:val="0"/>
      <w:marTop w:val="0"/>
      <w:marBottom w:val="0"/>
      <w:divBdr>
        <w:top w:val="none" w:sz="0" w:space="0" w:color="auto"/>
        <w:left w:val="none" w:sz="0" w:space="0" w:color="auto"/>
        <w:bottom w:val="none" w:sz="0" w:space="0" w:color="auto"/>
        <w:right w:val="none" w:sz="0" w:space="0" w:color="auto"/>
      </w:divBdr>
      <w:divsChild>
        <w:div w:id="35856394">
          <w:marLeft w:val="0"/>
          <w:marRight w:val="0"/>
          <w:marTop w:val="0"/>
          <w:marBottom w:val="0"/>
          <w:divBdr>
            <w:top w:val="none" w:sz="0" w:space="0" w:color="auto"/>
            <w:left w:val="none" w:sz="0" w:space="0" w:color="auto"/>
            <w:bottom w:val="none" w:sz="0" w:space="0" w:color="auto"/>
            <w:right w:val="none" w:sz="0" w:space="0" w:color="auto"/>
          </w:divBdr>
        </w:div>
        <w:div w:id="270548119">
          <w:marLeft w:val="0"/>
          <w:marRight w:val="0"/>
          <w:marTop w:val="0"/>
          <w:marBottom w:val="0"/>
          <w:divBdr>
            <w:top w:val="none" w:sz="0" w:space="0" w:color="auto"/>
            <w:left w:val="none" w:sz="0" w:space="0" w:color="auto"/>
            <w:bottom w:val="none" w:sz="0" w:space="0" w:color="auto"/>
            <w:right w:val="none" w:sz="0" w:space="0" w:color="auto"/>
          </w:divBdr>
        </w:div>
        <w:div w:id="420685019">
          <w:marLeft w:val="0"/>
          <w:marRight w:val="0"/>
          <w:marTop w:val="0"/>
          <w:marBottom w:val="0"/>
          <w:divBdr>
            <w:top w:val="none" w:sz="0" w:space="0" w:color="auto"/>
            <w:left w:val="none" w:sz="0" w:space="0" w:color="auto"/>
            <w:bottom w:val="none" w:sz="0" w:space="0" w:color="auto"/>
            <w:right w:val="none" w:sz="0" w:space="0" w:color="auto"/>
          </w:divBdr>
        </w:div>
        <w:div w:id="489324472">
          <w:marLeft w:val="0"/>
          <w:marRight w:val="0"/>
          <w:marTop w:val="0"/>
          <w:marBottom w:val="0"/>
          <w:divBdr>
            <w:top w:val="none" w:sz="0" w:space="0" w:color="auto"/>
            <w:left w:val="none" w:sz="0" w:space="0" w:color="auto"/>
            <w:bottom w:val="none" w:sz="0" w:space="0" w:color="auto"/>
            <w:right w:val="none" w:sz="0" w:space="0" w:color="auto"/>
          </w:divBdr>
        </w:div>
        <w:div w:id="605576433">
          <w:marLeft w:val="0"/>
          <w:marRight w:val="0"/>
          <w:marTop w:val="0"/>
          <w:marBottom w:val="0"/>
          <w:divBdr>
            <w:top w:val="none" w:sz="0" w:space="0" w:color="auto"/>
            <w:left w:val="none" w:sz="0" w:space="0" w:color="auto"/>
            <w:bottom w:val="none" w:sz="0" w:space="0" w:color="auto"/>
            <w:right w:val="none" w:sz="0" w:space="0" w:color="auto"/>
          </w:divBdr>
        </w:div>
        <w:div w:id="1174101779">
          <w:marLeft w:val="0"/>
          <w:marRight w:val="0"/>
          <w:marTop w:val="0"/>
          <w:marBottom w:val="0"/>
          <w:divBdr>
            <w:top w:val="none" w:sz="0" w:space="0" w:color="auto"/>
            <w:left w:val="none" w:sz="0" w:space="0" w:color="auto"/>
            <w:bottom w:val="none" w:sz="0" w:space="0" w:color="auto"/>
            <w:right w:val="none" w:sz="0" w:space="0" w:color="auto"/>
          </w:divBdr>
        </w:div>
        <w:div w:id="1788044479">
          <w:marLeft w:val="0"/>
          <w:marRight w:val="0"/>
          <w:marTop w:val="0"/>
          <w:marBottom w:val="0"/>
          <w:divBdr>
            <w:top w:val="none" w:sz="0" w:space="0" w:color="auto"/>
            <w:left w:val="none" w:sz="0" w:space="0" w:color="auto"/>
            <w:bottom w:val="none" w:sz="0" w:space="0" w:color="auto"/>
            <w:right w:val="none" w:sz="0" w:space="0" w:color="auto"/>
          </w:divBdr>
        </w:div>
        <w:div w:id="2059356546">
          <w:marLeft w:val="0"/>
          <w:marRight w:val="0"/>
          <w:marTop w:val="0"/>
          <w:marBottom w:val="0"/>
          <w:divBdr>
            <w:top w:val="none" w:sz="0" w:space="0" w:color="auto"/>
            <w:left w:val="none" w:sz="0" w:space="0" w:color="auto"/>
            <w:bottom w:val="none" w:sz="0" w:space="0" w:color="auto"/>
            <w:right w:val="none" w:sz="0" w:space="0" w:color="auto"/>
          </w:divBdr>
        </w:div>
      </w:divsChild>
    </w:div>
    <w:div w:id="266354015">
      <w:bodyDiv w:val="1"/>
      <w:marLeft w:val="0"/>
      <w:marRight w:val="0"/>
      <w:marTop w:val="0"/>
      <w:marBottom w:val="0"/>
      <w:divBdr>
        <w:top w:val="none" w:sz="0" w:space="0" w:color="auto"/>
        <w:left w:val="none" w:sz="0" w:space="0" w:color="auto"/>
        <w:bottom w:val="none" w:sz="0" w:space="0" w:color="auto"/>
        <w:right w:val="none" w:sz="0" w:space="0" w:color="auto"/>
      </w:divBdr>
    </w:div>
    <w:div w:id="995917216">
      <w:bodyDiv w:val="1"/>
      <w:marLeft w:val="0"/>
      <w:marRight w:val="0"/>
      <w:marTop w:val="0"/>
      <w:marBottom w:val="0"/>
      <w:divBdr>
        <w:top w:val="none" w:sz="0" w:space="0" w:color="auto"/>
        <w:left w:val="none" w:sz="0" w:space="0" w:color="auto"/>
        <w:bottom w:val="none" w:sz="0" w:space="0" w:color="auto"/>
        <w:right w:val="none" w:sz="0" w:space="0" w:color="auto"/>
      </w:divBdr>
      <w:divsChild>
        <w:div w:id="29033817">
          <w:marLeft w:val="0"/>
          <w:marRight w:val="0"/>
          <w:marTop w:val="0"/>
          <w:marBottom w:val="0"/>
          <w:divBdr>
            <w:top w:val="none" w:sz="0" w:space="0" w:color="auto"/>
            <w:left w:val="none" w:sz="0" w:space="0" w:color="auto"/>
            <w:bottom w:val="none" w:sz="0" w:space="0" w:color="auto"/>
            <w:right w:val="none" w:sz="0" w:space="0" w:color="auto"/>
          </w:divBdr>
        </w:div>
        <w:div w:id="306135204">
          <w:marLeft w:val="0"/>
          <w:marRight w:val="0"/>
          <w:marTop w:val="0"/>
          <w:marBottom w:val="0"/>
          <w:divBdr>
            <w:top w:val="none" w:sz="0" w:space="0" w:color="auto"/>
            <w:left w:val="none" w:sz="0" w:space="0" w:color="auto"/>
            <w:bottom w:val="none" w:sz="0" w:space="0" w:color="auto"/>
            <w:right w:val="none" w:sz="0" w:space="0" w:color="auto"/>
          </w:divBdr>
        </w:div>
        <w:div w:id="487404709">
          <w:marLeft w:val="0"/>
          <w:marRight w:val="0"/>
          <w:marTop w:val="0"/>
          <w:marBottom w:val="0"/>
          <w:divBdr>
            <w:top w:val="none" w:sz="0" w:space="0" w:color="auto"/>
            <w:left w:val="none" w:sz="0" w:space="0" w:color="auto"/>
            <w:bottom w:val="none" w:sz="0" w:space="0" w:color="auto"/>
            <w:right w:val="none" w:sz="0" w:space="0" w:color="auto"/>
          </w:divBdr>
        </w:div>
        <w:div w:id="701513882">
          <w:marLeft w:val="0"/>
          <w:marRight w:val="0"/>
          <w:marTop w:val="0"/>
          <w:marBottom w:val="0"/>
          <w:divBdr>
            <w:top w:val="none" w:sz="0" w:space="0" w:color="auto"/>
            <w:left w:val="none" w:sz="0" w:space="0" w:color="auto"/>
            <w:bottom w:val="none" w:sz="0" w:space="0" w:color="auto"/>
            <w:right w:val="none" w:sz="0" w:space="0" w:color="auto"/>
          </w:divBdr>
        </w:div>
        <w:div w:id="708649160">
          <w:marLeft w:val="0"/>
          <w:marRight w:val="0"/>
          <w:marTop w:val="0"/>
          <w:marBottom w:val="0"/>
          <w:divBdr>
            <w:top w:val="none" w:sz="0" w:space="0" w:color="auto"/>
            <w:left w:val="none" w:sz="0" w:space="0" w:color="auto"/>
            <w:bottom w:val="none" w:sz="0" w:space="0" w:color="auto"/>
            <w:right w:val="none" w:sz="0" w:space="0" w:color="auto"/>
          </w:divBdr>
        </w:div>
        <w:div w:id="884295541">
          <w:marLeft w:val="0"/>
          <w:marRight w:val="0"/>
          <w:marTop w:val="0"/>
          <w:marBottom w:val="0"/>
          <w:divBdr>
            <w:top w:val="none" w:sz="0" w:space="0" w:color="auto"/>
            <w:left w:val="none" w:sz="0" w:space="0" w:color="auto"/>
            <w:bottom w:val="none" w:sz="0" w:space="0" w:color="auto"/>
            <w:right w:val="none" w:sz="0" w:space="0" w:color="auto"/>
          </w:divBdr>
        </w:div>
        <w:div w:id="1549293504">
          <w:marLeft w:val="0"/>
          <w:marRight w:val="0"/>
          <w:marTop w:val="0"/>
          <w:marBottom w:val="0"/>
          <w:divBdr>
            <w:top w:val="none" w:sz="0" w:space="0" w:color="auto"/>
            <w:left w:val="none" w:sz="0" w:space="0" w:color="auto"/>
            <w:bottom w:val="none" w:sz="0" w:space="0" w:color="auto"/>
            <w:right w:val="none" w:sz="0" w:space="0" w:color="auto"/>
          </w:divBdr>
        </w:div>
        <w:div w:id="1668365429">
          <w:marLeft w:val="0"/>
          <w:marRight w:val="0"/>
          <w:marTop w:val="0"/>
          <w:marBottom w:val="0"/>
          <w:divBdr>
            <w:top w:val="none" w:sz="0" w:space="0" w:color="auto"/>
            <w:left w:val="none" w:sz="0" w:space="0" w:color="auto"/>
            <w:bottom w:val="none" w:sz="0" w:space="0" w:color="auto"/>
            <w:right w:val="none" w:sz="0" w:space="0" w:color="auto"/>
          </w:divBdr>
        </w:div>
        <w:div w:id="1773939396">
          <w:marLeft w:val="0"/>
          <w:marRight w:val="0"/>
          <w:marTop w:val="0"/>
          <w:marBottom w:val="0"/>
          <w:divBdr>
            <w:top w:val="none" w:sz="0" w:space="0" w:color="auto"/>
            <w:left w:val="none" w:sz="0" w:space="0" w:color="auto"/>
            <w:bottom w:val="none" w:sz="0" w:space="0" w:color="auto"/>
            <w:right w:val="none" w:sz="0" w:space="0" w:color="auto"/>
          </w:divBdr>
        </w:div>
      </w:divsChild>
    </w:div>
    <w:div w:id="1179349723">
      <w:bodyDiv w:val="1"/>
      <w:marLeft w:val="0"/>
      <w:marRight w:val="0"/>
      <w:marTop w:val="0"/>
      <w:marBottom w:val="0"/>
      <w:divBdr>
        <w:top w:val="none" w:sz="0" w:space="0" w:color="auto"/>
        <w:left w:val="none" w:sz="0" w:space="0" w:color="auto"/>
        <w:bottom w:val="none" w:sz="0" w:space="0" w:color="auto"/>
        <w:right w:val="none" w:sz="0" w:space="0" w:color="auto"/>
      </w:divBdr>
      <w:divsChild>
        <w:div w:id="169612792">
          <w:marLeft w:val="0"/>
          <w:marRight w:val="0"/>
          <w:marTop w:val="0"/>
          <w:marBottom w:val="0"/>
          <w:divBdr>
            <w:top w:val="none" w:sz="0" w:space="0" w:color="auto"/>
            <w:left w:val="none" w:sz="0" w:space="0" w:color="auto"/>
            <w:bottom w:val="none" w:sz="0" w:space="0" w:color="auto"/>
            <w:right w:val="none" w:sz="0" w:space="0" w:color="auto"/>
          </w:divBdr>
        </w:div>
        <w:div w:id="329408053">
          <w:marLeft w:val="0"/>
          <w:marRight w:val="0"/>
          <w:marTop w:val="0"/>
          <w:marBottom w:val="0"/>
          <w:divBdr>
            <w:top w:val="none" w:sz="0" w:space="0" w:color="auto"/>
            <w:left w:val="none" w:sz="0" w:space="0" w:color="auto"/>
            <w:bottom w:val="none" w:sz="0" w:space="0" w:color="auto"/>
            <w:right w:val="none" w:sz="0" w:space="0" w:color="auto"/>
          </w:divBdr>
        </w:div>
        <w:div w:id="377584969">
          <w:marLeft w:val="0"/>
          <w:marRight w:val="0"/>
          <w:marTop w:val="0"/>
          <w:marBottom w:val="0"/>
          <w:divBdr>
            <w:top w:val="none" w:sz="0" w:space="0" w:color="auto"/>
            <w:left w:val="none" w:sz="0" w:space="0" w:color="auto"/>
            <w:bottom w:val="none" w:sz="0" w:space="0" w:color="auto"/>
            <w:right w:val="none" w:sz="0" w:space="0" w:color="auto"/>
          </w:divBdr>
        </w:div>
        <w:div w:id="804277807">
          <w:marLeft w:val="0"/>
          <w:marRight w:val="0"/>
          <w:marTop w:val="0"/>
          <w:marBottom w:val="0"/>
          <w:divBdr>
            <w:top w:val="none" w:sz="0" w:space="0" w:color="auto"/>
            <w:left w:val="none" w:sz="0" w:space="0" w:color="auto"/>
            <w:bottom w:val="none" w:sz="0" w:space="0" w:color="auto"/>
            <w:right w:val="none" w:sz="0" w:space="0" w:color="auto"/>
          </w:divBdr>
        </w:div>
        <w:div w:id="1233930861">
          <w:marLeft w:val="0"/>
          <w:marRight w:val="0"/>
          <w:marTop w:val="0"/>
          <w:marBottom w:val="0"/>
          <w:divBdr>
            <w:top w:val="none" w:sz="0" w:space="0" w:color="auto"/>
            <w:left w:val="none" w:sz="0" w:space="0" w:color="auto"/>
            <w:bottom w:val="none" w:sz="0" w:space="0" w:color="auto"/>
            <w:right w:val="none" w:sz="0" w:space="0" w:color="auto"/>
          </w:divBdr>
        </w:div>
        <w:div w:id="1655599940">
          <w:marLeft w:val="0"/>
          <w:marRight w:val="0"/>
          <w:marTop w:val="0"/>
          <w:marBottom w:val="0"/>
          <w:divBdr>
            <w:top w:val="none" w:sz="0" w:space="0" w:color="auto"/>
            <w:left w:val="none" w:sz="0" w:space="0" w:color="auto"/>
            <w:bottom w:val="none" w:sz="0" w:space="0" w:color="auto"/>
            <w:right w:val="none" w:sz="0" w:space="0" w:color="auto"/>
          </w:divBdr>
        </w:div>
        <w:div w:id="1712731804">
          <w:marLeft w:val="0"/>
          <w:marRight w:val="0"/>
          <w:marTop w:val="0"/>
          <w:marBottom w:val="0"/>
          <w:divBdr>
            <w:top w:val="none" w:sz="0" w:space="0" w:color="auto"/>
            <w:left w:val="none" w:sz="0" w:space="0" w:color="auto"/>
            <w:bottom w:val="none" w:sz="0" w:space="0" w:color="auto"/>
            <w:right w:val="none" w:sz="0" w:space="0" w:color="auto"/>
          </w:divBdr>
        </w:div>
        <w:div w:id="1911691656">
          <w:marLeft w:val="0"/>
          <w:marRight w:val="0"/>
          <w:marTop w:val="0"/>
          <w:marBottom w:val="0"/>
          <w:divBdr>
            <w:top w:val="none" w:sz="0" w:space="0" w:color="auto"/>
            <w:left w:val="none" w:sz="0" w:space="0" w:color="auto"/>
            <w:bottom w:val="none" w:sz="0" w:space="0" w:color="auto"/>
            <w:right w:val="none" w:sz="0" w:space="0" w:color="auto"/>
          </w:divBdr>
        </w:div>
        <w:div w:id="2074962867">
          <w:marLeft w:val="0"/>
          <w:marRight w:val="0"/>
          <w:marTop w:val="0"/>
          <w:marBottom w:val="0"/>
          <w:divBdr>
            <w:top w:val="none" w:sz="0" w:space="0" w:color="auto"/>
            <w:left w:val="none" w:sz="0" w:space="0" w:color="auto"/>
            <w:bottom w:val="none" w:sz="0" w:space="0" w:color="auto"/>
            <w:right w:val="none" w:sz="0" w:space="0" w:color="auto"/>
          </w:divBdr>
        </w:div>
      </w:divsChild>
    </w:div>
    <w:div w:id="1184511329">
      <w:bodyDiv w:val="1"/>
      <w:marLeft w:val="0"/>
      <w:marRight w:val="0"/>
      <w:marTop w:val="0"/>
      <w:marBottom w:val="0"/>
      <w:divBdr>
        <w:top w:val="none" w:sz="0" w:space="0" w:color="auto"/>
        <w:left w:val="none" w:sz="0" w:space="0" w:color="auto"/>
        <w:bottom w:val="none" w:sz="0" w:space="0" w:color="auto"/>
        <w:right w:val="none" w:sz="0" w:space="0" w:color="auto"/>
      </w:divBdr>
      <w:divsChild>
        <w:div w:id="27604112">
          <w:marLeft w:val="0"/>
          <w:marRight w:val="0"/>
          <w:marTop w:val="0"/>
          <w:marBottom w:val="0"/>
          <w:divBdr>
            <w:top w:val="none" w:sz="0" w:space="0" w:color="auto"/>
            <w:left w:val="none" w:sz="0" w:space="0" w:color="auto"/>
            <w:bottom w:val="none" w:sz="0" w:space="0" w:color="auto"/>
            <w:right w:val="none" w:sz="0" w:space="0" w:color="auto"/>
          </w:divBdr>
        </w:div>
        <w:div w:id="429157460">
          <w:marLeft w:val="0"/>
          <w:marRight w:val="0"/>
          <w:marTop w:val="0"/>
          <w:marBottom w:val="0"/>
          <w:divBdr>
            <w:top w:val="none" w:sz="0" w:space="0" w:color="auto"/>
            <w:left w:val="none" w:sz="0" w:space="0" w:color="auto"/>
            <w:bottom w:val="none" w:sz="0" w:space="0" w:color="auto"/>
            <w:right w:val="none" w:sz="0" w:space="0" w:color="auto"/>
          </w:divBdr>
        </w:div>
        <w:div w:id="453066309">
          <w:marLeft w:val="0"/>
          <w:marRight w:val="0"/>
          <w:marTop w:val="0"/>
          <w:marBottom w:val="0"/>
          <w:divBdr>
            <w:top w:val="none" w:sz="0" w:space="0" w:color="auto"/>
            <w:left w:val="none" w:sz="0" w:space="0" w:color="auto"/>
            <w:bottom w:val="none" w:sz="0" w:space="0" w:color="auto"/>
            <w:right w:val="none" w:sz="0" w:space="0" w:color="auto"/>
          </w:divBdr>
        </w:div>
        <w:div w:id="898050697">
          <w:marLeft w:val="0"/>
          <w:marRight w:val="0"/>
          <w:marTop w:val="0"/>
          <w:marBottom w:val="0"/>
          <w:divBdr>
            <w:top w:val="none" w:sz="0" w:space="0" w:color="auto"/>
            <w:left w:val="none" w:sz="0" w:space="0" w:color="auto"/>
            <w:bottom w:val="none" w:sz="0" w:space="0" w:color="auto"/>
            <w:right w:val="none" w:sz="0" w:space="0" w:color="auto"/>
          </w:divBdr>
        </w:div>
        <w:div w:id="1484541696">
          <w:marLeft w:val="0"/>
          <w:marRight w:val="0"/>
          <w:marTop w:val="0"/>
          <w:marBottom w:val="0"/>
          <w:divBdr>
            <w:top w:val="none" w:sz="0" w:space="0" w:color="auto"/>
            <w:left w:val="none" w:sz="0" w:space="0" w:color="auto"/>
            <w:bottom w:val="none" w:sz="0" w:space="0" w:color="auto"/>
            <w:right w:val="none" w:sz="0" w:space="0" w:color="auto"/>
          </w:divBdr>
        </w:div>
        <w:div w:id="1856574116">
          <w:marLeft w:val="0"/>
          <w:marRight w:val="0"/>
          <w:marTop w:val="0"/>
          <w:marBottom w:val="0"/>
          <w:divBdr>
            <w:top w:val="none" w:sz="0" w:space="0" w:color="auto"/>
            <w:left w:val="none" w:sz="0" w:space="0" w:color="auto"/>
            <w:bottom w:val="none" w:sz="0" w:space="0" w:color="auto"/>
            <w:right w:val="none" w:sz="0" w:space="0" w:color="auto"/>
          </w:divBdr>
        </w:div>
        <w:div w:id="2044942720">
          <w:marLeft w:val="0"/>
          <w:marRight w:val="0"/>
          <w:marTop w:val="0"/>
          <w:marBottom w:val="0"/>
          <w:divBdr>
            <w:top w:val="none" w:sz="0" w:space="0" w:color="auto"/>
            <w:left w:val="none" w:sz="0" w:space="0" w:color="auto"/>
            <w:bottom w:val="none" w:sz="0" w:space="0" w:color="auto"/>
            <w:right w:val="none" w:sz="0" w:space="0" w:color="auto"/>
          </w:divBdr>
        </w:div>
      </w:divsChild>
    </w:div>
    <w:div w:id="1342929985">
      <w:bodyDiv w:val="1"/>
      <w:marLeft w:val="0"/>
      <w:marRight w:val="0"/>
      <w:marTop w:val="0"/>
      <w:marBottom w:val="0"/>
      <w:divBdr>
        <w:top w:val="none" w:sz="0" w:space="0" w:color="auto"/>
        <w:left w:val="none" w:sz="0" w:space="0" w:color="auto"/>
        <w:bottom w:val="none" w:sz="0" w:space="0" w:color="auto"/>
        <w:right w:val="none" w:sz="0" w:space="0" w:color="auto"/>
      </w:divBdr>
      <w:divsChild>
        <w:div w:id="6687053">
          <w:marLeft w:val="0"/>
          <w:marRight w:val="0"/>
          <w:marTop w:val="0"/>
          <w:marBottom w:val="0"/>
          <w:divBdr>
            <w:top w:val="none" w:sz="0" w:space="0" w:color="auto"/>
            <w:left w:val="none" w:sz="0" w:space="0" w:color="auto"/>
            <w:bottom w:val="none" w:sz="0" w:space="0" w:color="auto"/>
            <w:right w:val="none" w:sz="0" w:space="0" w:color="auto"/>
          </w:divBdr>
        </w:div>
        <w:div w:id="92437691">
          <w:marLeft w:val="0"/>
          <w:marRight w:val="0"/>
          <w:marTop w:val="0"/>
          <w:marBottom w:val="0"/>
          <w:divBdr>
            <w:top w:val="none" w:sz="0" w:space="0" w:color="auto"/>
            <w:left w:val="none" w:sz="0" w:space="0" w:color="auto"/>
            <w:bottom w:val="none" w:sz="0" w:space="0" w:color="auto"/>
            <w:right w:val="none" w:sz="0" w:space="0" w:color="auto"/>
          </w:divBdr>
        </w:div>
        <w:div w:id="192156651">
          <w:marLeft w:val="0"/>
          <w:marRight w:val="0"/>
          <w:marTop w:val="0"/>
          <w:marBottom w:val="0"/>
          <w:divBdr>
            <w:top w:val="none" w:sz="0" w:space="0" w:color="auto"/>
            <w:left w:val="none" w:sz="0" w:space="0" w:color="auto"/>
            <w:bottom w:val="none" w:sz="0" w:space="0" w:color="auto"/>
            <w:right w:val="none" w:sz="0" w:space="0" w:color="auto"/>
          </w:divBdr>
        </w:div>
        <w:div w:id="246572285">
          <w:marLeft w:val="0"/>
          <w:marRight w:val="0"/>
          <w:marTop w:val="0"/>
          <w:marBottom w:val="0"/>
          <w:divBdr>
            <w:top w:val="none" w:sz="0" w:space="0" w:color="auto"/>
            <w:left w:val="none" w:sz="0" w:space="0" w:color="auto"/>
            <w:bottom w:val="none" w:sz="0" w:space="0" w:color="auto"/>
            <w:right w:val="none" w:sz="0" w:space="0" w:color="auto"/>
          </w:divBdr>
        </w:div>
        <w:div w:id="479345143">
          <w:marLeft w:val="0"/>
          <w:marRight w:val="0"/>
          <w:marTop w:val="0"/>
          <w:marBottom w:val="0"/>
          <w:divBdr>
            <w:top w:val="none" w:sz="0" w:space="0" w:color="auto"/>
            <w:left w:val="none" w:sz="0" w:space="0" w:color="auto"/>
            <w:bottom w:val="none" w:sz="0" w:space="0" w:color="auto"/>
            <w:right w:val="none" w:sz="0" w:space="0" w:color="auto"/>
          </w:divBdr>
        </w:div>
        <w:div w:id="511795976">
          <w:marLeft w:val="0"/>
          <w:marRight w:val="0"/>
          <w:marTop w:val="0"/>
          <w:marBottom w:val="0"/>
          <w:divBdr>
            <w:top w:val="none" w:sz="0" w:space="0" w:color="auto"/>
            <w:left w:val="none" w:sz="0" w:space="0" w:color="auto"/>
            <w:bottom w:val="none" w:sz="0" w:space="0" w:color="auto"/>
            <w:right w:val="none" w:sz="0" w:space="0" w:color="auto"/>
          </w:divBdr>
        </w:div>
        <w:div w:id="529803596">
          <w:marLeft w:val="0"/>
          <w:marRight w:val="0"/>
          <w:marTop w:val="0"/>
          <w:marBottom w:val="0"/>
          <w:divBdr>
            <w:top w:val="none" w:sz="0" w:space="0" w:color="auto"/>
            <w:left w:val="none" w:sz="0" w:space="0" w:color="auto"/>
            <w:bottom w:val="none" w:sz="0" w:space="0" w:color="auto"/>
            <w:right w:val="none" w:sz="0" w:space="0" w:color="auto"/>
          </w:divBdr>
        </w:div>
        <w:div w:id="542014590">
          <w:marLeft w:val="0"/>
          <w:marRight w:val="0"/>
          <w:marTop w:val="0"/>
          <w:marBottom w:val="0"/>
          <w:divBdr>
            <w:top w:val="none" w:sz="0" w:space="0" w:color="auto"/>
            <w:left w:val="none" w:sz="0" w:space="0" w:color="auto"/>
            <w:bottom w:val="none" w:sz="0" w:space="0" w:color="auto"/>
            <w:right w:val="none" w:sz="0" w:space="0" w:color="auto"/>
          </w:divBdr>
        </w:div>
        <w:div w:id="751584308">
          <w:marLeft w:val="0"/>
          <w:marRight w:val="0"/>
          <w:marTop w:val="0"/>
          <w:marBottom w:val="0"/>
          <w:divBdr>
            <w:top w:val="none" w:sz="0" w:space="0" w:color="auto"/>
            <w:left w:val="none" w:sz="0" w:space="0" w:color="auto"/>
            <w:bottom w:val="none" w:sz="0" w:space="0" w:color="auto"/>
            <w:right w:val="none" w:sz="0" w:space="0" w:color="auto"/>
          </w:divBdr>
        </w:div>
        <w:div w:id="1016882536">
          <w:marLeft w:val="0"/>
          <w:marRight w:val="0"/>
          <w:marTop w:val="0"/>
          <w:marBottom w:val="0"/>
          <w:divBdr>
            <w:top w:val="none" w:sz="0" w:space="0" w:color="auto"/>
            <w:left w:val="none" w:sz="0" w:space="0" w:color="auto"/>
            <w:bottom w:val="none" w:sz="0" w:space="0" w:color="auto"/>
            <w:right w:val="none" w:sz="0" w:space="0" w:color="auto"/>
          </w:divBdr>
        </w:div>
        <w:div w:id="1141845336">
          <w:marLeft w:val="0"/>
          <w:marRight w:val="0"/>
          <w:marTop w:val="0"/>
          <w:marBottom w:val="0"/>
          <w:divBdr>
            <w:top w:val="none" w:sz="0" w:space="0" w:color="auto"/>
            <w:left w:val="none" w:sz="0" w:space="0" w:color="auto"/>
            <w:bottom w:val="none" w:sz="0" w:space="0" w:color="auto"/>
            <w:right w:val="none" w:sz="0" w:space="0" w:color="auto"/>
          </w:divBdr>
        </w:div>
        <w:div w:id="1149663507">
          <w:marLeft w:val="0"/>
          <w:marRight w:val="0"/>
          <w:marTop w:val="0"/>
          <w:marBottom w:val="0"/>
          <w:divBdr>
            <w:top w:val="none" w:sz="0" w:space="0" w:color="auto"/>
            <w:left w:val="none" w:sz="0" w:space="0" w:color="auto"/>
            <w:bottom w:val="none" w:sz="0" w:space="0" w:color="auto"/>
            <w:right w:val="none" w:sz="0" w:space="0" w:color="auto"/>
          </w:divBdr>
        </w:div>
        <w:div w:id="1169445534">
          <w:marLeft w:val="0"/>
          <w:marRight w:val="0"/>
          <w:marTop w:val="0"/>
          <w:marBottom w:val="0"/>
          <w:divBdr>
            <w:top w:val="none" w:sz="0" w:space="0" w:color="auto"/>
            <w:left w:val="none" w:sz="0" w:space="0" w:color="auto"/>
            <w:bottom w:val="none" w:sz="0" w:space="0" w:color="auto"/>
            <w:right w:val="none" w:sz="0" w:space="0" w:color="auto"/>
          </w:divBdr>
        </w:div>
        <w:div w:id="1386560326">
          <w:marLeft w:val="0"/>
          <w:marRight w:val="0"/>
          <w:marTop w:val="0"/>
          <w:marBottom w:val="0"/>
          <w:divBdr>
            <w:top w:val="none" w:sz="0" w:space="0" w:color="auto"/>
            <w:left w:val="none" w:sz="0" w:space="0" w:color="auto"/>
            <w:bottom w:val="none" w:sz="0" w:space="0" w:color="auto"/>
            <w:right w:val="none" w:sz="0" w:space="0" w:color="auto"/>
          </w:divBdr>
        </w:div>
        <w:div w:id="1428816953">
          <w:marLeft w:val="0"/>
          <w:marRight w:val="0"/>
          <w:marTop w:val="0"/>
          <w:marBottom w:val="0"/>
          <w:divBdr>
            <w:top w:val="none" w:sz="0" w:space="0" w:color="auto"/>
            <w:left w:val="none" w:sz="0" w:space="0" w:color="auto"/>
            <w:bottom w:val="none" w:sz="0" w:space="0" w:color="auto"/>
            <w:right w:val="none" w:sz="0" w:space="0" w:color="auto"/>
          </w:divBdr>
        </w:div>
        <w:div w:id="1571888252">
          <w:marLeft w:val="0"/>
          <w:marRight w:val="0"/>
          <w:marTop w:val="0"/>
          <w:marBottom w:val="0"/>
          <w:divBdr>
            <w:top w:val="none" w:sz="0" w:space="0" w:color="auto"/>
            <w:left w:val="none" w:sz="0" w:space="0" w:color="auto"/>
            <w:bottom w:val="none" w:sz="0" w:space="0" w:color="auto"/>
            <w:right w:val="none" w:sz="0" w:space="0" w:color="auto"/>
          </w:divBdr>
        </w:div>
        <w:div w:id="1597787460">
          <w:marLeft w:val="0"/>
          <w:marRight w:val="0"/>
          <w:marTop w:val="0"/>
          <w:marBottom w:val="0"/>
          <w:divBdr>
            <w:top w:val="none" w:sz="0" w:space="0" w:color="auto"/>
            <w:left w:val="none" w:sz="0" w:space="0" w:color="auto"/>
            <w:bottom w:val="none" w:sz="0" w:space="0" w:color="auto"/>
            <w:right w:val="none" w:sz="0" w:space="0" w:color="auto"/>
          </w:divBdr>
        </w:div>
        <w:div w:id="1607887191">
          <w:marLeft w:val="0"/>
          <w:marRight w:val="0"/>
          <w:marTop w:val="0"/>
          <w:marBottom w:val="0"/>
          <w:divBdr>
            <w:top w:val="none" w:sz="0" w:space="0" w:color="auto"/>
            <w:left w:val="none" w:sz="0" w:space="0" w:color="auto"/>
            <w:bottom w:val="none" w:sz="0" w:space="0" w:color="auto"/>
            <w:right w:val="none" w:sz="0" w:space="0" w:color="auto"/>
          </w:divBdr>
        </w:div>
        <w:div w:id="1664821133">
          <w:marLeft w:val="0"/>
          <w:marRight w:val="0"/>
          <w:marTop w:val="0"/>
          <w:marBottom w:val="0"/>
          <w:divBdr>
            <w:top w:val="none" w:sz="0" w:space="0" w:color="auto"/>
            <w:left w:val="none" w:sz="0" w:space="0" w:color="auto"/>
            <w:bottom w:val="none" w:sz="0" w:space="0" w:color="auto"/>
            <w:right w:val="none" w:sz="0" w:space="0" w:color="auto"/>
          </w:divBdr>
        </w:div>
        <w:div w:id="1854806106">
          <w:marLeft w:val="0"/>
          <w:marRight w:val="0"/>
          <w:marTop w:val="0"/>
          <w:marBottom w:val="0"/>
          <w:divBdr>
            <w:top w:val="none" w:sz="0" w:space="0" w:color="auto"/>
            <w:left w:val="none" w:sz="0" w:space="0" w:color="auto"/>
            <w:bottom w:val="none" w:sz="0" w:space="0" w:color="auto"/>
            <w:right w:val="none" w:sz="0" w:space="0" w:color="auto"/>
          </w:divBdr>
        </w:div>
        <w:div w:id="1956716527">
          <w:marLeft w:val="0"/>
          <w:marRight w:val="0"/>
          <w:marTop w:val="0"/>
          <w:marBottom w:val="0"/>
          <w:divBdr>
            <w:top w:val="none" w:sz="0" w:space="0" w:color="auto"/>
            <w:left w:val="none" w:sz="0" w:space="0" w:color="auto"/>
            <w:bottom w:val="none" w:sz="0" w:space="0" w:color="auto"/>
            <w:right w:val="none" w:sz="0" w:space="0" w:color="auto"/>
          </w:divBdr>
        </w:div>
      </w:divsChild>
    </w:div>
    <w:div w:id="1378504348">
      <w:bodyDiv w:val="1"/>
      <w:marLeft w:val="0"/>
      <w:marRight w:val="0"/>
      <w:marTop w:val="0"/>
      <w:marBottom w:val="0"/>
      <w:divBdr>
        <w:top w:val="none" w:sz="0" w:space="0" w:color="auto"/>
        <w:left w:val="none" w:sz="0" w:space="0" w:color="auto"/>
        <w:bottom w:val="none" w:sz="0" w:space="0" w:color="auto"/>
        <w:right w:val="none" w:sz="0" w:space="0" w:color="auto"/>
      </w:divBdr>
      <w:divsChild>
        <w:div w:id="226917157">
          <w:marLeft w:val="0"/>
          <w:marRight w:val="0"/>
          <w:marTop w:val="0"/>
          <w:marBottom w:val="0"/>
          <w:divBdr>
            <w:top w:val="none" w:sz="0" w:space="0" w:color="auto"/>
            <w:left w:val="none" w:sz="0" w:space="0" w:color="auto"/>
            <w:bottom w:val="none" w:sz="0" w:space="0" w:color="auto"/>
            <w:right w:val="none" w:sz="0" w:space="0" w:color="auto"/>
          </w:divBdr>
        </w:div>
        <w:div w:id="1039357867">
          <w:marLeft w:val="0"/>
          <w:marRight w:val="0"/>
          <w:marTop w:val="0"/>
          <w:marBottom w:val="0"/>
          <w:divBdr>
            <w:top w:val="none" w:sz="0" w:space="0" w:color="auto"/>
            <w:left w:val="none" w:sz="0" w:space="0" w:color="auto"/>
            <w:bottom w:val="none" w:sz="0" w:space="0" w:color="auto"/>
            <w:right w:val="none" w:sz="0" w:space="0" w:color="auto"/>
          </w:divBdr>
        </w:div>
        <w:div w:id="1304233160">
          <w:marLeft w:val="0"/>
          <w:marRight w:val="0"/>
          <w:marTop w:val="0"/>
          <w:marBottom w:val="0"/>
          <w:divBdr>
            <w:top w:val="none" w:sz="0" w:space="0" w:color="auto"/>
            <w:left w:val="none" w:sz="0" w:space="0" w:color="auto"/>
            <w:bottom w:val="none" w:sz="0" w:space="0" w:color="auto"/>
            <w:right w:val="none" w:sz="0" w:space="0" w:color="auto"/>
          </w:divBdr>
        </w:div>
        <w:div w:id="1761214713">
          <w:marLeft w:val="0"/>
          <w:marRight w:val="0"/>
          <w:marTop w:val="0"/>
          <w:marBottom w:val="0"/>
          <w:divBdr>
            <w:top w:val="none" w:sz="0" w:space="0" w:color="auto"/>
            <w:left w:val="none" w:sz="0" w:space="0" w:color="auto"/>
            <w:bottom w:val="none" w:sz="0" w:space="0" w:color="auto"/>
            <w:right w:val="none" w:sz="0" w:space="0" w:color="auto"/>
          </w:divBdr>
        </w:div>
        <w:div w:id="1831948948">
          <w:marLeft w:val="0"/>
          <w:marRight w:val="0"/>
          <w:marTop w:val="0"/>
          <w:marBottom w:val="0"/>
          <w:divBdr>
            <w:top w:val="none" w:sz="0" w:space="0" w:color="auto"/>
            <w:left w:val="none" w:sz="0" w:space="0" w:color="auto"/>
            <w:bottom w:val="none" w:sz="0" w:space="0" w:color="auto"/>
            <w:right w:val="none" w:sz="0" w:space="0" w:color="auto"/>
          </w:divBdr>
        </w:div>
      </w:divsChild>
    </w:div>
    <w:div w:id="1479615752">
      <w:bodyDiv w:val="1"/>
      <w:marLeft w:val="0"/>
      <w:marRight w:val="0"/>
      <w:marTop w:val="0"/>
      <w:marBottom w:val="0"/>
      <w:divBdr>
        <w:top w:val="none" w:sz="0" w:space="0" w:color="auto"/>
        <w:left w:val="none" w:sz="0" w:space="0" w:color="auto"/>
        <w:bottom w:val="none" w:sz="0" w:space="0" w:color="auto"/>
        <w:right w:val="none" w:sz="0" w:space="0" w:color="auto"/>
      </w:divBdr>
      <w:divsChild>
        <w:div w:id="168251383">
          <w:marLeft w:val="0"/>
          <w:marRight w:val="0"/>
          <w:marTop w:val="0"/>
          <w:marBottom w:val="0"/>
          <w:divBdr>
            <w:top w:val="none" w:sz="0" w:space="0" w:color="auto"/>
            <w:left w:val="none" w:sz="0" w:space="0" w:color="auto"/>
            <w:bottom w:val="none" w:sz="0" w:space="0" w:color="auto"/>
            <w:right w:val="none" w:sz="0" w:space="0" w:color="auto"/>
          </w:divBdr>
        </w:div>
        <w:div w:id="211622309">
          <w:marLeft w:val="0"/>
          <w:marRight w:val="0"/>
          <w:marTop w:val="0"/>
          <w:marBottom w:val="0"/>
          <w:divBdr>
            <w:top w:val="none" w:sz="0" w:space="0" w:color="auto"/>
            <w:left w:val="none" w:sz="0" w:space="0" w:color="auto"/>
            <w:bottom w:val="none" w:sz="0" w:space="0" w:color="auto"/>
            <w:right w:val="none" w:sz="0" w:space="0" w:color="auto"/>
          </w:divBdr>
        </w:div>
        <w:div w:id="340399788">
          <w:marLeft w:val="0"/>
          <w:marRight w:val="0"/>
          <w:marTop w:val="0"/>
          <w:marBottom w:val="0"/>
          <w:divBdr>
            <w:top w:val="none" w:sz="0" w:space="0" w:color="auto"/>
            <w:left w:val="none" w:sz="0" w:space="0" w:color="auto"/>
            <w:bottom w:val="none" w:sz="0" w:space="0" w:color="auto"/>
            <w:right w:val="none" w:sz="0" w:space="0" w:color="auto"/>
          </w:divBdr>
        </w:div>
        <w:div w:id="558594444">
          <w:marLeft w:val="0"/>
          <w:marRight w:val="0"/>
          <w:marTop w:val="0"/>
          <w:marBottom w:val="0"/>
          <w:divBdr>
            <w:top w:val="none" w:sz="0" w:space="0" w:color="auto"/>
            <w:left w:val="none" w:sz="0" w:space="0" w:color="auto"/>
            <w:bottom w:val="none" w:sz="0" w:space="0" w:color="auto"/>
            <w:right w:val="none" w:sz="0" w:space="0" w:color="auto"/>
          </w:divBdr>
        </w:div>
        <w:div w:id="760561616">
          <w:marLeft w:val="0"/>
          <w:marRight w:val="0"/>
          <w:marTop w:val="0"/>
          <w:marBottom w:val="0"/>
          <w:divBdr>
            <w:top w:val="none" w:sz="0" w:space="0" w:color="auto"/>
            <w:left w:val="none" w:sz="0" w:space="0" w:color="auto"/>
            <w:bottom w:val="none" w:sz="0" w:space="0" w:color="auto"/>
            <w:right w:val="none" w:sz="0" w:space="0" w:color="auto"/>
          </w:divBdr>
        </w:div>
        <w:div w:id="1227959703">
          <w:marLeft w:val="0"/>
          <w:marRight w:val="0"/>
          <w:marTop w:val="0"/>
          <w:marBottom w:val="0"/>
          <w:divBdr>
            <w:top w:val="none" w:sz="0" w:space="0" w:color="auto"/>
            <w:left w:val="none" w:sz="0" w:space="0" w:color="auto"/>
            <w:bottom w:val="none" w:sz="0" w:space="0" w:color="auto"/>
            <w:right w:val="none" w:sz="0" w:space="0" w:color="auto"/>
          </w:divBdr>
        </w:div>
        <w:div w:id="1631207810">
          <w:marLeft w:val="0"/>
          <w:marRight w:val="0"/>
          <w:marTop w:val="0"/>
          <w:marBottom w:val="0"/>
          <w:divBdr>
            <w:top w:val="none" w:sz="0" w:space="0" w:color="auto"/>
            <w:left w:val="none" w:sz="0" w:space="0" w:color="auto"/>
            <w:bottom w:val="none" w:sz="0" w:space="0" w:color="auto"/>
            <w:right w:val="none" w:sz="0" w:space="0" w:color="auto"/>
          </w:divBdr>
        </w:div>
      </w:divsChild>
    </w:div>
    <w:div w:id="1631547056">
      <w:bodyDiv w:val="1"/>
      <w:marLeft w:val="0"/>
      <w:marRight w:val="0"/>
      <w:marTop w:val="0"/>
      <w:marBottom w:val="0"/>
      <w:divBdr>
        <w:top w:val="none" w:sz="0" w:space="0" w:color="auto"/>
        <w:left w:val="none" w:sz="0" w:space="0" w:color="auto"/>
        <w:bottom w:val="none" w:sz="0" w:space="0" w:color="auto"/>
        <w:right w:val="none" w:sz="0" w:space="0" w:color="auto"/>
      </w:divBdr>
      <w:divsChild>
        <w:div w:id="124279638">
          <w:marLeft w:val="0"/>
          <w:marRight w:val="0"/>
          <w:marTop w:val="0"/>
          <w:marBottom w:val="0"/>
          <w:divBdr>
            <w:top w:val="none" w:sz="0" w:space="0" w:color="auto"/>
            <w:left w:val="none" w:sz="0" w:space="0" w:color="auto"/>
            <w:bottom w:val="none" w:sz="0" w:space="0" w:color="auto"/>
            <w:right w:val="none" w:sz="0" w:space="0" w:color="auto"/>
          </w:divBdr>
        </w:div>
        <w:div w:id="182939876">
          <w:marLeft w:val="0"/>
          <w:marRight w:val="0"/>
          <w:marTop w:val="0"/>
          <w:marBottom w:val="0"/>
          <w:divBdr>
            <w:top w:val="none" w:sz="0" w:space="0" w:color="auto"/>
            <w:left w:val="none" w:sz="0" w:space="0" w:color="auto"/>
            <w:bottom w:val="none" w:sz="0" w:space="0" w:color="auto"/>
            <w:right w:val="none" w:sz="0" w:space="0" w:color="auto"/>
          </w:divBdr>
        </w:div>
        <w:div w:id="336928208">
          <w:marLeft w:val="0"/>
          <w:marRight w:val="0"/>
          <w:marTop w:val="0"/>
          <w:marBottom w:val="0"/>
          <w:divBdr>
            <w:top w:val="none" w:sz="0" w:space="0" w:color="auto"/>
            <w:left w:val="none" w:sz="0" w:space="0" w:color="auto"/>
            <w:bottom w:val="none" w:sz="0" w:space="0" w:color="auto"/>
            <w:right w:val="none" w:sz="0" w:space="0" w:color="auto"/>
          </w:divBdr>
        </w:div>
        <w:div w:id="376394462">
          <w:marLeft w:val="0"/>
          <w:marRight w:val="0"/>
          <w:marTop w:val="0"/>
          <w:marBottom w:val="0"/>
          <w:divBdr>
            <w:top w:val="none" w:sz="0" w:space="0" w:color="auto"/>
            <w:left w:val="none" w:sz="0" w:space="0" w:color="auto"/>
            <w:bottom w:val="none" w:sz="0" w:space="0" w:color="auto"/>
            <w:right w:val="none" w:sz="0" w:space="0" w:color="auto"/>
          </w:divBdr>
        </w:div>
        <w:div w:id="564923048">
          <w:marLeft w:val="0"/>
          <w:marRight w:val="0"/>
          <w:marTop w:val="0"/>
          <w:marBottom w:val="0"/>
          <w:divBdr>
            <w:top w:val="none" w:sz="0" w:space="0" w:color="auto"/>
            <w:left w:val="none" w:sz="0" w:space="0" w:color="auto"/>
            <w:bottom w:val="none" w:sz="0" w:space="0" w:color="auto"/>
            <w:right w:val="none" w:sz="0" w:space="0" w:color="auto"/>
          </w:divBdr>
        </w:div>
        <w:div w:id="805468081">
          <w:marLeft w:val="0"/>
          <w:marRight w:val="0"/>
          <w:marTop w:val="0"/>
          <w:marBottom w:val="0"/>
          <w:divBdr>
            <w:top w:val="none" w:sz="0" w:space="0" w:color="auto"/>
            <w:left w:val="none" w:sz="0" w:space="0" w:color="auto"/>
            <w:bottom w:val="none" w:sz="0" w:space="0" w:color="auto"/>
            <w:right w:val="none" w:sz="0" w:space="0" w:color="auto"/>
          </w:divBdr>
        </w:div>
        <w:div w:id="1012299255">
          <w:marLeft w:val="0"/>
          <w:marRight w:val="0"/>
          <w:marTop w:val="0"/>
          <w:marBottom w:val="0"/>
          <w:divBdr>
            <w:top w:val="none" w:sz="0" w:space="0" w:color="auto"/>
            <w:left w:val="none" w:sz="0" w:space="0" w:color="auto"/>
            <w:bottom w:val="none" w:sz="0" w:space="0" w:color="auto"/>
            <w:right w:val="none" w:sz="0" w:space="0" w:color="auto"/>
          </w:divBdr>
        </w:div>
        <w:div w:id="1214119947">
          <w:marLeft w:val="0"/>
          <w:marRight w:val="0"/>
          <w:marTop w:val="0"/>
          <w:marBottom w:val="0"/>
          <w:divBdr>
            <w:top w:val="none" w:sz="0" w:space="0" w:color="auto"/>
            <w:left w:val="none" w:sz="0" w:space="0" w:color="auto"/>
            <w:bottom w:val="none" w:sz="0" w:space="0" w:color="auto"/>
            <w:right w:val="none" w:sz="0" w:space="0" w:color="auto"/>
          </w:divBdr>
        </w:div>
        <w:div w:id="1224487186">
          <w:marLeft w:val="0"/>
          <w:marRight w:val="0"/>
          <w:marTop w:val="0"/>
          <w:marBottom w:val="0"/>
          <w:divBdr>
            <w:top w:val="none" w:sz="0" w:space="0" w:color="auto"/>
            <w:left w:val="none" w:sz="0" w:space="0" w:color="auto"/>
            <w:bottom w:val="none" w:sz="0" w:space="0" w:color="auto"/>
            <w:right w:val="none" w:sz="0" w:space="0" w:color="auto"/>
          </w:divBdr>
        </w:div>
        <w:div w:id="1770465485">
          <w:marLeft w:val="0"/>
          <w:marRight w:val="0"/>
          <w:marTop w:val="0"/>
          <w:marBottom w:val="0"/>
          <w:divBdr>
            <w:top w:val="none" w:sz="0" w:space="0" w:color="auto"/>
            <w:left w:val="none" w:sz="0" w:space="0" w:color="auto"/>
            <w:bottom w:val="none" w:sz="0" w:space="0" w:color="auto"/>
            <w:right w:val="none" w:sz="0" w:space="0" w:color="auto"/>
          </w:divBdr>
        </w:div>
        <w:div w:id="1794444405">
          <w:marLeft w:val="0"/>
          <w:marRight w:val="0"/>
          <w:marTop w:val="0"/>
          <w:marBottom w:val="0"/>
          <w:divBdr>
            <w:top w:val="none" w:sz="0" w:space="0" w:color="auto"/>
            <w:left w:val="none" w:sz="0" w:space="0" w:color="auto"/>
            <w:bottom w:val="none" w:sz="0" w:space="0" w:color="auto"/>
            <w:right w:val="none" w:sz="0" w:space="0" w:color="auto"/>
          </w:divBdr>
        </w:div>
        <w:div w:id="18889063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1016/j.inveco.2017.02.002" TargetMode="External"/><Relationship Id="rId26" Type="http://schemas.openxmlformats.org/officeDocument/2006/relationships/hyperlink" Target="http://repositorio.unu.edu.pe/handle/UNU/4401" TargetMode="External"/><Relationship Id="rId3" Type="http://schemas.openxmlformats.org/officeDocument/2006/relationships/numbering" Target="numbering.xml"/><Relationship Id="rId21" Type="http://schemas.openxmlformats.org/officeDocument/2006/relationships/hyperlink" Target="http://hdl.handle.net/20.500.12423/218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pdt.org/uploads/docs/05_Rev62_CCG.pdf" TargetMode="External"/><Relationship Id="rId25" Type="http://schemas.openxmlformats.org/officeDocument/2006/relationships/hyperlink" Target="https://www.sunat.gob.pe/legislacion/renta/ley/capvii.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0560/jems.v2n3p" TargetMode="External"/><Relationship Id="rId20" Type="http://schemas.openxmlformats.org/officeDocument/2006/relationships/hyperlink" Target="http://repositorio.ucsg.edu.ec/handle/3317/16347" TargetMode="External"/><Relationship Id="rId29" Type="http://schemas.openxmlformats.org/officeDocument/2006/relationships/hyperlink" Target="https://www.pwc.pe/es/assets/document/brochure_IR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37641/riset.v5i1.21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nefac.org.mx/descargas/publicaciones/Articulo_ManuelGonzalez_Ene23.pdf" TargetMode="External"/><Relationship Id="rId28" Type="http://schemas.openxmlformats.org/officeDocument/2006/relationships/hyperlink" Target="https://www.pwc.pe/es/assets/document/brochure_IR_final.pdf" TargetMode="External"/><Relationship Id="rId10" Type="http://schemas.openxmlformats.org/officeDocument/2006/relationships/hyperlink" Target="https://creativecommons.org/licenses/by/4.0/deed.es" TargetMode="External"/><Relationship Id="rId19" Type="http://schemas.openxmlformats.org/officeDocument/2006/relationships/hyperlink" Target="https://infopublic.bpaprocorp.com/banco-de-leyes/decreto-legislativo-1264" TargetMode="External"/><Relationship Id="rId31" Type="http://schemas.openxmlformats.org/officeDocument/2006/relationships/hyperlink" Target="https://doi.org/10.31381/iusinkarri.vn6.125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hdl.handle.net/20.500.12423/2283" TargetMode="External"/><Relationship Id="rId27" Type="http://schemas.openxmlformats.org/officeDocument/2006/relationships/hyperlink" Target="http://repositorio.unu.edu.pe/handle/UNU/4458" TargetMode="External"/><Relationship Id="rId30" Type="http://schemas.openxmlformats.org/officeDocument/2006/relationships/hyperlink" Target="https://doi.org/10.37811/cl_rcm.v7i1.494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17268/sciendo.2025.009" TargetMode="External"/><Relationship Id="rId1" Type="http://schemas.openxmlformats.org/officeDocument/2006/relationships/hyperlink" Target="http://dx.doi.org/10.17268/sciendo.2025.00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x.doi.org/10.17268/sciendo.2025.009" TargetMode="External"/><Relationship Id="rId1" Type="http://schemas.openxmlformats.org/officeDocument/2006/relationships/hyperlink" Target="http://dx.doi.org/10.17268/sciendo.2025.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A+H5UszeYTSs2jFtg0XpVK6yQ==">AMUW2mUyTxSdsR8/Jr43PY4cmbGJht57BNnC5C0l+7Rwbpu/lN0b5AuqX0j62XFzAeL9Oo/sLluoca757gOZPymK5mVnXjJKRCbK3qTtqyksrbs5EMir6hA=</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4AAFA6-DE8C-48BE-9241-68205B91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5149</Words>
  <Characters>28323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Revisor</cp:lastModifiedBy>
  <cp:revision>4</cp:revision>
  <cp:lastPrinted>2025-03-21T13:26:00Z</cp:lastPrinted>
  <dcterms:created xsi:type="dcterms:W3CDTF">2025-03-21T13:25:00Z</dcterms:created>
  <dcterms:modified xsi:type="dcterms:W3CDTF">2025-04-02T18:41:00Z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verIAReportVersion">
    <vt:lpwstr>3</vt:lpwstr>
  </property>
</Properties>
</file>